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both"/>
        <w:rPr>
          <w:rFonts w:hint="eastAsia" w:ascii="黑体" w:hAnsi="黑体" w:eastAsia="黑体" w:cs="黑体"/>
          <w:b w:val="0"/>
          <w:bCs/>
          <w:color w:val="000000"/>
          <w:spacing w:val="24"/>
          <w:sz w:val="28"/>
          <w:szCs w:val="28"/>
          <w:lang w:val="en-US" w:eastAsia="zh-CN"/>
        </w:rPr>
      </w:pPr>
      <w:bookmarkStart w:id="0" w:name="_GoBack"/>
      <w:bookmarkEnd w:id="0"/>
      <w:r>
        <w:rPr>
          <w:rFonts w:hint="eastAsia" w:ascii="黑体" w:hAnsi="黑体" w:eastAsia="黑体" w:cs="黑体"/>
          <w:b w:val="0"/>
          <w:bCs/>
          <w:color w:val="000000"/>
          <w:spacing w:val="24"/>
          <w:sz w:val="28"/>
          <w:szCs w:val="28"/>
          <w:lang w:val="en-US" w:eastAsia="zh-CN"/>
        </w:rPr>
        <w:t>明山区十届人大</w:t>
      </w:r>
    </w:p>
    <w:p>
      <w:pPr>
        <w:adjustRightInd w:val="0"/>
        <w:snapToGrid w:val="0"/>
        <w:jc w:val="both"/>
        <w:rPr>
          <w:rFonts w:hint="default"/>
          <w:b w:val="0"/>
          <w:bCs/>
          <w:color w:val="000000"/>
          <w:sz w:val="28"/>
          <w:szCs w:val="28"/>
          <w:lang w:val="en-US" w:eastAsia="zh-CN"/>
        </w:rPr>
      </w:pPr>
      <w:r>
        <w:rPr>
          <w:rFonts w:hint="eastAsia" w:ascii="黑体" w:hAnsi="黑体" w:eastAsia="黑体" w:cs="黑体"/>
          <w:b w:val="0"/>
          <w:bCs/>
          <w:color w:val="000000"/>
          <w:sz w:val="28"/>
          <w:szCs w:val="28"/>
          <w:lang w:val="en-US" w:eastAsia="zh-CN"/>
        </w:rPr>
        <w:t>一次会议文件(19)</w:t>
      </w:r>
    </w:p>
    <w:p>
      <w:pPr>
        <w:pStyle w:val="2"/>
      </w:pPr>
    </w:p>
    <w:p>
      <w:pPr>
        <w:adjustRightInd w:val="0"/>
        <w:snapToGrid w:val="0"/>
        <w:jc w:val="center"/>
        <w:rPr>
          <w:b/>
          <w:color w:val="000000"/>
          <w:sz w:val="44"/>
          <w:szCs w:val="44"/>
        </w:rPr>
      </w:pPr>
      <w:r>
        <w:rPr>
          <w:b/>
          <w:color w:val="000000"/>
          <w:sz w:val="44"/>
          <w:szCs w:val="44"/>
        </w:rPr>
        <w:t>关于</w:t>
      </w:r>
      <w:r>
        <w:rPr>
          <w:rFonts w:hint="eastAsia"/>
          <w:b/>
          <w:color w:val="000000"/>
          <w:sz w:val="44"/>
          <w:szCs w:val="44"/>
        </w:rPr>
        <w:t>明山区</w:t>
      </w:r>
      <w:r>
        <w:rPr>
          <w:b/>
          <w:color w:val="000000"/>
          <w:sz w:val="44"/>
          <w:szCs w:val="44"/>
        </w:rPr>
        <w:t>20</w:t>
      </w:r>
      <w:r>
        <w:rPr>
          <w:rFonts w:hint="eastAsia"/>
          <w:b/>
          <w:color w:val="000000"/>
          <w:sz w:val="44"/>
          <w:szCs w:val="44"/>
          <w:lang w:val="en-US" w:eastAsia="zh-CN"/>
        </w:rPr>
        <w:t>21</w:t>
      </w:r>
      <w:r>
        <w:rPr>
          <w:b/>
          <w:color w:val="000000"/>
          <w:sz w:val="44"/>
          <w:szCs w:val="44"/>
        </w:rPr>
        <w:t>年预算执行情况和</w:t>
      </w:r>
    </w:p>
    <w:p>
      <w:pPr>
        <w:adjustRightInd w:val="0"/>
        <w:snapToGrid w:val="0"/>
        <w:jc w:val="center"/>
        <w:rPr>
          <w:rFonts w:eastAsia="楷体_GB2312"/>
          <w:color w:val="000000"/>
        </w:rPr>
      </w:pPr>
      <w:r>
        <w:rPr>
          <w:rFonts w:hint="default" w:ascii="Times New Roman" w:hAnsi="Times New Roman" w:eastAsia="仿宋_GB2312" w:cs="Times New Roman"/>
          <w:b/>
          <w:bCs/>
          <w:color w:val="000000"/>
          <w:sz w:val="44"/>
          <w:szCs w:val="44"/>
          <w:highlight w:val="none"/>
        </w:rPr>
        <w:t>20</w:t>
      </w:r>
      <w:r>
        <w:rPr>
          <w:rFonts w:hint="eastAsia" w:ascii="Times New Roman" w:hAnsi="Times New Roman" w:eastAsia="仿宋_GB2312" w:cs="Times New Roman"/>
          <w:b/>
          <w:bCs/>
          <w:color w:val="000000"/>
          <w:sz w:val="44"/>
          <w:szCs w:val="44"/>
          <w:highlight w:val="none"/>
        </w:rPr>
        <w:t>2</w:t>
      </w:r>
      <w:r>
        <w:rPr>
          <w:rFonts w:hint="eastAsia" w:ascii="Times New Roman" w:hAnsi="Times New Roman" w:eastAsia="仿宋_GB2312" w:cs="Times New Roman"/>
          <w:b/>
          <w:bCs/>
          <w:color w:val="000000"/>
          <w:sz w:val="44"/>
          <w:szCs w:val="44"/>
          <w:highlight w:val="none"/>
          <w:lang w:val="en-US" w:eastAsia="zh-CN"/>
        </w:rPr>
        <w:t>2</w:t>
      </w:r>
      <w:r>
        <w:rPr>
          <w:b/>
          <w:color w:val="000000"/>
          <w:sz w:val="44"/>
          <w:szCs w:val="44"/>
        </w:rPr>
        <w:t>年预算</w:t>
      </w:r>
      <w:r>
        <w:rPr>
          <w:rFonts w:hint="eastAsia"/>
          <w:b/>
          <w:color w:val="000000"/>
          <w:sz w:val="44"/>
          <w:szCs w:val="44"/>
          <w:lang w:eastAsia="zh-CN"/>
        </w:rPr>
        <w:t>（</w:t>
      </w:r>
      <w:r>
        <w:rPr>
          <w:b/>
          <w:color w:val="000000"/>
          <w:sz w:val="44"/>
          <w:szCs w:val="44"/>
        </w:rPr>
        <w:t>草案</w:t>
      </w:r>
      <w:r>
        <w:rPr>
          <w:rFonts w:hint="eastAsia"/>
          <w:b/>
          <w:color w:val="000000"/>
          <w:sz w:val="44"/>
          <w:szCs w:val="44"/>
          <w:lang w:eastAsia="zh-CN"/>
        </w:rPr>
        <w:t>）</w:t>
      </w:r>
      <w:r>
        <w:rPr>
          <w:b/>
          <w:color w:val="000000"/>
          <w:sz w:val="44"/>
          <w:szCs w:val="44"/>
        </w:rPr>
        <w:t>的报告</w:t>
      </w:r>
    </w:p>
    <w:p>
      <w:pPr>
        <w:pStyle w:val="2"/>
      </w:pPr>
    </w:p>
    <w:p>
      <w:pPr>
        <w:adjustRightInd w:val="0"/>
        <w:snapToGrid w:val="0"/>
        <w:jc w:val="center"/>
        <w:rPr>
          <w:rFonts w:hint="eastAsia" w:ascii="楷体_GB2312" w:eastAsia="楷体_GB2312"/>
          <w:b w:val="0"/>
          <w:bCs w:val="0"/>
          <w:color w:val="000000"/>
        </w:rPr>
      </w:pPr>
      <w:r>
        <w:rPr>
          <w:rFonts w:hint="eastAsia" w:ascii="楷体_GB2312" w:eastAsia="楷体_GB2312"/>
          <w:b w:val="0"/>
          <w:bCs w:val="0"/>
          <w:color w:val="000000"/>
        </w:rPr>
        <w:t>——</w:t>
      </w:r>
      <w:r>
        <w:rPr>
          <w:rFonts w:hint="default" w:ascii="Times New Roman" w:hAnsi="Times New Roman" w:eastAsia="仿宋_GB2312" w:cs="Times New Roman"/>
          <w:b w:val="0"/>
          <w:bCs w:val="0"/>
          <w:color w:val="000000"/>
          <w:highlight w:val="none"/>
        </w:rPr>
        <w:t>20</w:t>
      </w:r>
      <w:r>
        <w:rPr>
          <w:rFonts w:hint="eastAsia" w:ascii="Times New Roman" w:hAnsi="Times New Roman" w:eastAsia="仿宋_GB2312" w:cs="Times New Roman"/>
          <w:b w:val="0"/>
          <w:bCs w:val="0"/>
          <w:color w:val="000000"/>
          <w:highlight w:val="none"/>
          <w:lang w:val="en-US" w:eastAsia="zh-CN"/>
        </w:rPr>
        <w:t>21</w:t>
      </w:r>
      <w:r>
        <w:rPr>
          <w:rFonts w:hint="eastAsia" w:ascii="楷体_GB2312" w:eastAsia="楷体_GB2312"/>
          <w:b w:val="0"/>
          <w:bCs w:val="0"/>
          <w:color w:val="000000"/>
        </w:rPr>
        <w:t>年</w:t>
      </w:r>
      <w:r>
        <w:rPr>
          <w:rFonts w:hint="eastAsia" w:ascii="楷体_GB2312" w:eastAsia="楷体_GB2312"/>
          <w:b w:val="0"/>
          <w:bCs w:val="0"/>
          <w:color w:val="000000"/>
          <w:lang w:val="en-US" w:eastAsia="zh-CN"/>
        </w:rPr>
        <w:t>12</w:t>
      </w:r>
      <w:r>
        <w:rPr>
          <w:rFonts w:hint="eastAsia" w:ascii="楷体_GB2312" w:eastAsia="楷体_GB2312"/>
          <w:b w:val="0"/>
          <w:bCs w:val="0"/>
          <w:color w:val="000000"/>
        </w:rPr>
        <w:t>月</w:t>
      </w:r>
      <w:r>
        <w:rPr>
          <w:rFonts w:hint="eastAsia" w:ascii="楷体_GB2312" w:eastAsia="楷体_GB2312"/>
          <w:b w:val="0"/>
          <w:bCs w:val="0"/>
          <w:color w:val="000000"/>
          <w:lang w:val="en-US" w:eastAsia="zh-CN"/>
        </w:rPr>
        <w:t>7</w:t>
      </w:r>
      <w:r>
        <w:rPr>
          <w:rFonts w:hint="eastAsia" w:ascii="楷体_GB2312" w:eastAsia="楷体_GB2312"/>
          <w:b w:val="0"/>
          <w:bCs w:val="0"/>
          <w:color w:val="000000"/>
        </w:rPr>
        <w:t>日在明山区第</w:t>
      </w:r>
      <w:r>
        <w:rPr>
          <w:rFonts w:hint="eastAsia" w:ascii="楷体_GB2312" w:eastAsia="楷体_GB2312"/>
          <w:b w:val="0"/>
          <w:bCs w:val="0"/>
          <w:color w:val="000000"/>
          <w:lang w:val="en-US" w:eastAsia="zh-CN"/>
        </w:rPr>
        <w:t>十</w:t>
      </w:r>
      <w:r>
        <w:rPr>
          <w:rFonts w:hint="eastAsia" w:ascii="楷体_GB2312" w:eastAsia="楷体_GB2312"/>
          <w:b w:val="0"/>
          <w:bCs w:val="0"/>
          <w:color w:val="000000"/>
        </w:rPr>
        <w:t>届</w:t>
      </w:r>
    </w:p>
    <w:p>
      <w:pPr>
        <w:adjustRightInd w:val="0"/>
        <w:snapToGrid w:val="0"/>
        <w:jc w:val="center"/>
        <w:rPr>
          <w:rFonts w:hint="eastAsia" w:ascii="楷体_GB2312" w:eastAsia="楷体_GB2312"/>
          <w:b w:val="0"/>
          <w:bCs w:val="0"/>
          <w:color w:val="000000"/>
        </w:rPr>
      </w:pPr>
      <w:r>
        <w:rPr>
          <w:rFonts w:hint="eastAsia" w:ascii="楷体_GB2312" w:eastAsia="楷体_GB2312"/>
          <w:b w:val="0"/>
          <w:bCs w:val="0"/>
          <w:color w:val="000000"/>
        </w:rPr>
        <w:t>人民代表大会第</w:t>
      </w:r>
      <w:r>
        <w:rPr>
          <w:rFonts w:hint="eastAsia" w:ascii="楷体_GB2312" w:eastAsia="楷体_GB2312"/>
          <w:b w:val="0"/>
          <w:bCs w:val="0"/>
          <w:color w:val="000000"/>
          <w:lang w:eastAsia="zh-CN"/>
        </w:rPr>
        <w:t>一</w:t>
      </w:r>
      <w:r>
        <w:rPr>
          <w:rFonts w:hint="eastAsia" w:ascii="楷体_GB2312" w:eastAsia="楷体_GB2312"/>
          <w:b w:val="0"/>
          <w:bCs w:val="0"/>
          <w:color w:val="000000"/>
        </w:rPr>
        <w:t>次会议上</w:t>
      </w:r>
    </w:p>
    <w:p>
      <w:pPr>
        <w:adjustRightInd w:val="0"/>
        <w:snapToGrid w:val="0"/>
        <w:jc w:val="center"/>
        <w:rPr>
          <w:rFonts w:hint="eastAsia" w:ascii="楷体_GB2312" w:eastAsia="楷体_GB2312"/>
          <w:b w:val="0"/>
          <w:bCs w:val="0"/>
          <w:color w:val="000000"/>
        </w:rPr>
      </w:pPr>
    </w:p>
    <w:p>
      <w:pPr>
        <w:adjustRightInd w:val="0"/>
        <w:snapToGrid w:val="0"/>
        <w:jc w:val="center"/>
        <w:rPr>
          <w:rFonts w:hint="eastAsia" w:ascii="楷体_GB2312" w:eastAsia="楷体_GB2312"/>
          <w:color w:val="000000"/>
        </w:rPr>
      </w:pPr>
      <w:r>
        <w:rPr>
          <w:rFonts w:hint="eastAsia" w:ascii="楷体_GB2312" w:eastAsia="楷体_GB2312"/>
          <w:b w:val="0"/>
          <w:bCs w:val="0"/>
          <w:color w:val="000000"/>
        </w:rPr>
        <w:t>明山区财政局局长  运洪升</w:t>
      </w:r>
    </w:p>
    <w:p>
      <w:pPr>
        <w:adjustRightInd w:val="0"/>
        <w:snapToGrid w:val="0"/>
        <w:jc w:val="center"/>
        <w:rPr>
          <w:rFonts w:eastAsia="楷体_GB2312"/>
          <w:color w:val="000000"/>
        </w:rPr>
      </w:pPr>
    </w:p>
    <w:p>
      <w:pPr>
        <w:adjustRightInd w:val="0"/>
        <w:snapToGrid w:val="0"/>
        <w:spacing w:line="600" w:lineRule="exact"/>
        <w:rPr>
          <w:rFonts w:hint="eastAsia" w:ascii="仿宋_GB2312" w:eastAsia="仿宋_GB2312"/>
          <w:color w:val="000000"/>
        </w:rPr>
      </w:pPr>
      <w:r>
        <w:rPr>
          <w:rFonts w:hint="eastAsia" w:ascii="仿宋_GB2312" w:eastAsia="仿宋_GB2312"/>
          <w:color w:val="000000"/>
        </w:rPr>
        <w:t>各位代表：</w:t>
      </w:r>
    </w:p>
    <w:p>
      <w:pPr>
        <w:adjustRightInd w:val="0"/>
        <w:snapToGrid w:val="0"/>
        <w:spacing w:line="600" w:lineRule="exact"/>
        <w:ind w:firstLine="699" w:firstLineChars="221"/>
        <w:rPr>
          <w:rFonts w:hint="eastAsia" w:ascii="仿宋_GB2312" w:eastAsia="仿宋_GB2312"/>
          <w:color w:val="000000"/>
        </w:rPr>
      </w:pPr>
      <w:r>
        <w:rPr>
          <w:rFonts w:hint="eastAsia" w:ascii="仿宋_GB2312" w:eastAsia="仿宋_GB2312"/>
          <w:color w:val="000000"/>
        </w:rPr>
        <w:t>我受区人民政府委托，向大会报告明山区</w:t>
      </w:r>
      <w:r>
        <w:rPr>
          <w:rFonts w:hint="default" w:ascii="Times New Roman" w:hAnsi="Times New Roman" w:eastAsia="仿宋_GB2312" w:cs="Times New Roman"/>
          <w:color w:val="000000"/>
          <w:highlight w:val="none"/>
        </w:rPr>
        <w:t>20</w:t>
      </w:r>
      <w:r>
        <w:rPr>
          <w:rFonts w:hint="eastAsia" w:ascii="Times New Roman" w:hAnsi="Times New Roman" w:eastAsia="仿宋_GB2312" w:cs="Times New Roman"/>
          <w:color w:val="000000"/>
          <w:highlight w:val="none"/>
          <w:lang w:val="en-US" w:eastAsia="zh-CN"/>
        </w:rPr>
        <w:t>21</w:t>
      </w:r>
      <w:r>
        <w:rPr>
          <w:rFonts w:hint="eastAsia" w:ascii="仿宋_GB2312" w:eastAsia="仿宋_GB2312"/>
          <w:color w:val="000000"/>
        </w:rPr>
        <w:t>年预算执行情况和</w:t>
      </w:r>
      <w:r>
        <w:rPr>
          <w:rFonts w:hint="default" w:ascii="Times New Roman" w:hAnsi="Times New Roman" w:eastAsia="仿宋_GB2312" w:cs="Times New Roman"/>
          <w:color w:val="000000"/>
          <w:highlight w:val="none"/>
        </w:rPr>
        <w:t>202</w:t>
      </w:r>
      <w:r>
        <w:rPr>
          <w:rFonts w:hint="eastAsia" w:ascii="Times New Roman" w:hAnsi="Times New Roman" w:eastAsia="仿宋_GB2312" w:cs="Times New Roman"/>
          <w:color w:val="000000"/>
          <w:highlight w:val="none"/>
          <w:lang w:val="en-US" w:eastAsia="zh-CN"/>
        </w:rPr>
        <w:t>2</w:t>
      </w:r>
      <w:r>
        <w:rPr>
          <w:rFonts w:hint="eastAsia" w:ascii="仿宋_GB2312" w:eastAsia="仿宋_GB2312"/>
          <w:color w:val="000000"/>
        </w:rPr>
        <w:t>年预算草案，请予审议，并请各位政协委员和其他列席人员提出意见。</w:t>
      </w:r>
    </w:p>
    <w:p>
      <w:pPr>
        <w:ind w:firstLine="632" w:firstLineChars="200"/>
        <w:rPr>
          <w:rFonts w:hint="eastAsia" w:ascii="仿宋_GB2312" w:eastAsia="仿宋_GB2312"/>
          <w:color w:val="000000"/>
        </w:rPr>
      </w:pPr>
      <w:r>
        <w:rPr>
          <w:rFonts w:hint="default" w:ascii="Times New Roman" w:hAnsi="Times New Roman" w:eastAsia="仿宋_GB2312" w:cs="Times New Roman"/>
          <w:color w:val="000000"/>
          <w:highlight w:val="none"/>
        </w:rPr>
        <w:t>20</w:t>
      </w:r>
      <w:r>
        <w:rPr>
          <w:rFonts w:hint="eastAsia" w:ascii="Times New Roman" w:hAnsi="Times New Roman" w:eastAsia="仿宋_GB2312" w:cs="Times New Roman"/>
          <w:color w:val="000000"/>
          <w:highlight w:val="none"/>
          <w:lang w:val="en-US" w:eastAsia="zh-CN"/>
        </w:rPr>
        <w:t>21</w:t>
      </w:r>
      <w:r>
        <w:rPr>
          <w:rFonts w:hint="eastAsia" w:ascii="仿宋_GB2312" w:eastAsia="仿宋_GB2312"/>
          <w:color w:val="000000"/>
        </w:rPr>
        <w:t>年，面对</w:t>
      </w:r>
      <w:r>
        <w:rPr>
          <w:rFonts w:hint="eastAsia" w:ascii="仿宋_GB2312" w:eastAsia="仿宋_GB2312"/>
          <w:color w:val="000000"/>
          <w:lang w:eastAsia="zh-CN"/>
        </w:rPr>
        <w:t>新</w:t>
      </w:r>
      <w:r>
        <w:rPr>
          <w:rFonts w:hint="eastAsia" w:ascii="仿宋_GB2312" w:eastAsia="仿宋_GB2312"/>
          <w:color w:val="000000"/>
        </w:rPr>
        <w:t>的经济形势，</w:t>
      </w:r>
      <w:r>
        <w:rPr>
          <w:rFonts w:hint="eastAsia" w:ascii="仿宋_GB2312" w:eastAsia="仿宋_GB2312"/>
          <w:color w:val="000000"/>
          <w:lang w:eastAsia="zh-CN"/>
        </w:rPr>
        <w:t>全区财税系统</w:t>
      </w:r>
      <w:r>
        <w:rPr>
          <w:rFonts w:hint="eastAsia" w:ascii="仿宋_GB2312" w:eastAsia="仿宋_GB2312"/>
          <w:color w:val="000000"/>
        </w:rPr>
        <w:t>在区委的坚强领导下，在区人大</w:t>
      </w:r>
      <w:r>
        <w:rPr>
          <w:rFonts w:hint="eastAsia" w:ascii="仿宋_GB2312" w:eastAsia="仿宋_GB2312"/>
          <w:color w:val="000000"/>
          <w:lang w:eastAsia="zh-CN"/>
        </w:rPr>
        <w:t>和区政协</w:t>
      </w:r>
      <w:r>
        <w:rPr>
          <w:rFonts w:hint="eastAsia" w:ascii="仿宋_GB2312" w:eastAsia="仿宋_GB2312"/>
          <w:color w:val="000000"/>
        </w:rPr>
        <w:t>的监督、支持下，全区上下以习近平新时代中国特色社会主义思想为指导，全面贯彻习近平总书记在辽宁考察时和在深入推进东北振兴座谈会上的重要讲话精神，紧紧围绕区域经济高质量发展要求，</w:t>
      </w:r>
      <w:r>
        <w:rPr>
          <w:rFonts w:hint="eastAsia" w:ascii="仿宋_GB2312" w:eastAsia="仿宋_GB2312"/>
          <w:color w:val="000000"/>
          <w:lang w:val="en-US" w:eastAsia="zh-CN"/>
        </w:rPr>
        <w:t>稳中求进</w:t>
      </w:r>
      <w:r>
        <w:rPr>
          <w:rFonts w:hint="eastAsia" w:ascii="仿宋_GB2312" w:eastAsia="仿宋_GB2312"/>
          <w:color w:val="000000"/>
        </w:rPr>
        <w:t>、化危为机，沉着有力应对各种风险挑战，坚持稳中求进总基调，加大积极财政政策调控力度，加强重点领域支出保障，全力以赴、担当作为，扎实做好“六稳”工作，全面落实“六保”任务，为决战决胜全面建成小康社会，夺取统筹推进疫情防控和经济社会发展双胜利奠定了坚实的基础。全区预算执行情况总体较好。</w:t>
      </w:r>
    </w:p>
    <w:p>
      <w:pPr>
        <w:adjustRightInd w:val="0"/>
        <w:snapToGrid w:val="0"/>
        <w:spacing w:line="600" w:lineRule="exact"/>
        <w:ind w:firstLine="699" w:firstLineChars="221"/>
        <w:rPr>
          <w:rFonts w:hint="eastAsia" w:ascii="黑体" w:hAnsi="黑体" w:eastAsia="黑体"/>
          <w:color w:val="000000"/>
        </w:rPr>
      </w:pPr>
      <w:r>
        <w:rPr>
          <w:rFonts w:ascii="黑体" w:hAnsi="黑体" w:eastAsia="黑体"/>
          <w:color w:val="000000"/>
        </w:rPr>
        <w:t>一、</w:t>
      </w:r>
      <w:r>
        <w:rPr>
          <w:rFonts w:hint="default" w:ascii="Times New Roman" w:hAnsi="Times New Roman" w:eastAsia="仿宋_GB2312" w:cs="Times New Roman"/>
          <w:color w:val="000000"/>
          <w:highlight w:val="none"/>
        </w:rPr>
        <w:t>20</w:t>
      </w:r>
      <w:r>
        <w:rPr>
          <w:rFonts w:hint="eastAsia" w:ascii="Times New Roman" w:hAnsi="Times New Roman" w:eastAsia="仿宋_GB2312" w:cs="Times New Roman"/>
          <w:color w:val="000000"/>
          <w:highlight w:val="none"/>
          <w:lang w:val="en-US" w:eastAsia="zh-CN"/>
        </w:rPr>
        <w:t>21</w:t>
      </w:r>
      <w:r>
        <w:rPr>
          <w:rFonts w:ascii="黑体" w:hAnsi="黑体" w:eastAsia="黑体"/>
          <w:color w:val="000000"/>
        </w:rPr>
        <w:t>年预算执行情况</w:t>
      </w:r>
    </w:p>
    <w:p>
      <w:pPr>
        <w:adjustRightInd w:val="0"/>
        <w:snapToGrid w:val="0"/>
        <w:spacing w:line="600" w:lineRule="exact"/>
        <w:ind w:firstLine="699" w:firstLineChars="221"/>
        <w:rPr>
          <w:rFonts w:hint="eastAsia" w:ascii="Times New Roman" w:hAnsi="Times New Roman" w:eastAsia="仿宋_GB2312" w:cs="Times New Roman"/>
          <w:b/>
          <w:color w:val="000000"/>
        </w:rPr>
      </w:pPr>
      <w:r>
        <w:rPr>
          <w:rFonts w:hint="eastAsia" w:ascii="Times New Roman" w:hAnsi="Times New Roman" w:eastAsia="仿宋_GB2312" w:cs="Times New Roman"/>
          <w:b/>
          <w:color w:val="000000"/>
        </w:rPr>
        <w:t>（一）一般公共预算执行情况</w:t>
      </w:r>
    </w:p>
    <w:p>
      <w:pPr>
        <w:adjustRightInd w:val="0"/>
        <w:snapToGrid w:val="0"/>
        <w:spacing w:line="600" w:lineRule="exact"/>
        <w:ind w:firstLine="699" w:firstLineChars="221"/>
        <w:rPr>
          <w:rFonts w:hint="eastAsia" w:ascii="仿宋_GB2312" w:eastAsia="仿宋_GB2312"/>
          <w:b/>
          <w:color w:val="000000"/>
        </w:rPr>
      </w:pPr>
      <w:r>
        <w:rPr>
          <w:rFonts w:eastAsia="仿宋_GB2312"/>
          <w:b/>
          <w:color w:val="000000"/>
        </w:rPr>
        <w:t>1.</w:t>
      </w:r>
      <w:r>
        <w:rPr>
          <w:rFonts w:hint="eastAsia" w:ascii="仿宋_GB2312" w:eastAsia="仿宋_GB2312"/>
          <w:b/>
          <w:color w:val="000000"/>
        </w:rPr>
        <w:t>一般公共预算收入情况</w:t>
      </w:r>
    </w:p>
    <w:p>
      <w:pPr>
        <w:ind w:firstLine="632" w:firstLineChars="200"/>
        <w:rPr>
          <w:rFonts w:hint="eastAsia" w:ascii="仿宋_GB2312" w:hAnsi="Times New Roman" w:eastAsia="仿宋_GB2312" w:cs="Times New Roman"/>
          <w:color w:val="000000"/>
        </w:rPr>
      </w:pPr>
      <w:r>
        <w:rPr>
          <w:rFonts w:hint="default" w:ascii="仿宋_GB2312" w:hAnsi="Times New Roman" w:eastAsia="仿宋_GB2312" w:cs="Times New Roman"/>
          <w:color w:val="000000"/>
        </w:rPr>
        <w:t>20</w:t>
      </w:r>
      <w:r>
        <w:rPr>
          <w:rFonts w:hint="eastAsia" w:ascii="仿宋_GB2312" w:hAnsi="Times New Roman" w:eastAsia="仿宋_GB2312" w:cs="Times New Roman"/>
          <w:color w:val="000000"/>
          <w:lang w:val="en-US" w:eastAsia="zh-CN"/>
        </w:rPr>
        <w:t>21</w:t>
      </w:r>
      <w:r>
        <w:rPr>
          <w:rFonts w:hint="eastAsia" w:ascii="仿宋_GB2312" w:hAnsi="Times New Roman" w:eastAsia="仿宋_GB2312" w:cs="Times New Roman"/>
          <w:color w:val="000000"/>
        </w:rPr>
        <w:t>年，全区一般公共预算收入</w:t>
      </w:r>
      <w:r>
        <w:rPr>
          <w:rFonts w:hint="eastAsia" w:ascii="仿宋_GB2312" w:hAnsi="Times New Roman" w:eastAsia="仿宋_GB2312" w:cs="Times New Roman"/>
          <w:color w:val="000000"/>
          <w:lang w:eastAsia="zh-CN"/>
        </w:rPr>
        <w:t>预计完</w:t>
      </w:r>
      <w:r>
        <w:rPr>
          <w:rFonts w:hint="eastAsia" w:ascii="仿宋_GB2312" w:hAnsi="Times New Roman" w:eastAsia="仿宋_GB2312" w:cs="Times New Roman"/>
          <w:color w:val="000000"/>
          <w:lang w:val="en-US" w:eastAsia="zh-CN"/>
        </w:rPr>
        <w:t>成63049</w:t>
      </w:r>
      <w:r>
        <w:rPr>
          <w:rFonts w:hint="eastAsia" w:ascii="仿宋_GB2312" w:hAnsi="Times New Roman" w:eastAsia="仿宋_GB2312" w:cs="Times New Roman"/>
          <w:color w:val="000000"/>
        </w:rPr>
        <w:t>万元</w:t>
      </w:r>
      <w:r>
        <w:rPr>
          <w:rFonts w:hint="eastAsia" w:ascii="仿宋_GB2312" w:hAnsi="Times New Roman" w:eastAsia="仿宋_GB2312" w:cs="Times New Roman"/>
          <w:color w:val="000000"/>
          <w:lang w:eastAsia="zh-CN"/>
        </w:rPr>
        <w:t>，为调整预算的</w:t>
      </w:r>
      <w:r>
        <w:rPr>
          <w:rFonts w:hint="eastAsia" w:ascii="仿宋_GB2312" w:hAnsi="Times New Roman" w:eastAsia="仿宋_GB2312" w:cs="Times New Roman"/>
          <w:color w:val="000000"/>
          <w:lang w:val="en-US" w:eastAsia="zh-CN"/>
        </w:rPr>
        <w:t>100%</w:t>
      </w:r>
      <w:r>
        <w:rPr>
          <w:rFonts w:hint="eastAsia" w:ascii="仿宋_GB2312" w:hAnsi="Times New Roman" w:eastAsia="仿宋_GB2312" w:cs="Times New Roman"/>
          <w:color w:val="000000"/>
          <w:lang w:eastAsia="zh-CN"/>
        </w:rPr>
        <w:t>，</w:t>
      </w:r>
      <w:r>
        <w:rPr>
          <w:rFonts w:hint="eastAsia" w:ascii="仿宋_GB2312" w:hAnsi="Times New Roman" w:eastAsia="仿宋_GB2312" w:cs="Times New Roman"/>
          <w:color w:val="000000"/>
        </w:rPr>
        <w:t>同比</w:t>
      </w:r>
      <w:r>
        <w:rPr>
          <w:rFonts w:hint="eastAsia" w:ascii="仿宋_GB2312" w:hAnsi="Times New Roman" w:eastAsia="仿宋_GB2312" w:cs="Times New Roman"/>
          <w:color w:val="000000"/>
          <w:lang w:eastAsia="zh-CN"/>
        </w:rPr>
        <w:t>增长</w:t>
      </w:r>
      <w:r>
        <w:rPr>
          <w:rFonts w:hint="eastAsia" w:ascii="仿宋_GB2312" w:hAnsi="Times New Roman" w:eastAsia="仿宋_GB2312" w:cs="Times New Roman"/>
          <w:color w:val="000000"/>
          <w:lang w:val="en-US" w:eastAsia="zh-CN"/>
        </w:rPr>
        <w:t>18.6</w:t>
      </w:r>
      <w:r>
        <w:rPr>
          <w:rFonts w:hint="eastAsia" w:ascii="仿宋_GB2312" w:hAnsi="Times New Roman" w:eastAsia="仿宋_GB2312" w:cs="Times New Roman"/>
          <w:color w:val="000000"/>
        </w:rPr>
        <w:t>%。其中：税收收入</w:t>
      </w:r>
      <w:r>
        <w:rPr>
          <w:rFonts w:hint="eastAsia" w:ascii="仿宋_GB2312" w:hAnsi="Times New Roman" w:eastAsia="仿宋_GB2312" w:cs="Times New Roman"/>
          <w:color w:val="000000"/>
          <w:lang w:val="en-US" w:eastAsia="zh-CN"/>
        </w:rPr>
        <w:t>58295</w:t>
      </w:r>
      <w:r>
        <w:rPr>
          <w:rFonts w:hint="eastAsia" w:ascii="仿宋_GB2312" w:hAnsi="Times New Roman" w:eastAsia="仿宋_GB2312" w:cs="Times New Roman"/>
          <w:color w:val="000000"/>
        </w:rPr>
        <w:t>万元，</w:t>
      </w:r>
      <w:r>
        <w:rPr>
          <w:rFonts w:hint="eastAsia" w:ascii="仿宋_GB2312" w:hAnsi="Times New Roman" w:eastAsia="仿宋_GB2312" w:cs="Times New Roman"/>
          <w:color w:val="000000"/>
          <w:lang w:eastAsia="zh-CN"/>
        </w:rPr>
        <w:t>增长</w:t>
      </w:r>
      <w:r>
        <w:rPr>
          <w:rFonts w:hint="eastAsia" w:ascii="仿宋_GB2312" w:hAnsi="Times New Roman" w:eastAsia="仿宋_GB2312" w:cs="Times New Roman"/>
          <w:color w:val="000000"/>
          <w:lang w:val="en-US" w:eastAsia="zh-CN"/>
        </w:rPr>
        <w:t>38.4</w:t>
      </w:r>
      <w:r>
        <w:rPr>
          <w:rFonts w:hint="eastAsia" w:ascii="仿宋_GB2312" w:hAnsi="Times New Roman" w:eastAsia="仿宋_GB2312" w:cs="Times New Roman"/>
          <w:color w:val="000000"/>
        </w:rPr>
        <w:t>%；非税收入</w:t>
      </w:r>
      <w:r>
        <w:rPr>
          <w:rFonts w:hint="eastAsia" w:ascii="仿宋_GB2312" w:hAnsi="Times New Roman" w:eastAsia="仿宋_GB2312" w:cs="Times New Roman"/>
          <w:color w:val="000000"/>
          <w:lang w:val="en-US" w:eastAsia="zh-CN"/>
        </w:rPr>
        <w:t xml:space="preserve">4754 </w:t>
      </w:r>
      <w:r>
        <w:rPr>
          <w:rFonts w:hint="eastAsia" w:ascii="仿宋_GB2312" w:hAnsi="Times New Roman" w:eastAsia="仿宋_GB2312" w:cs="Times New Roman"/>
          <w:color w:val="000000"/>
        </w:rPr>
        <w:t>万元，</w:t>
      </w:r>
      <w:r>
        <w:rPr>
          <w:rFonts w:hint="eastAsia" w:ascii="仿宋_GB2312" w:hAnsi="Times New Roman" w:eastAsia="仿宋_GB2312" w:cs="Times New Roman"/>
          <w:color w:val="000000"/>
          <w:lang w:eastAsia="zh-CN"/>
        </w:rPr>
        <w:t>下降</w:t>
      </w:r>
      <w:r>
        <w:rPr>
          <w:rFonts w:hint="eastAsia" w:ascii="仿宋_GB2312" w:hAnsi="Times New Roman" w:eastAsia="仿宋_GB2312" w:cs="Times New Roman"/>
          <w:color w:val="000000"/>
          <w:lang w:val="en-US" w:eastAsia="zh-CN"/>
        </w:rPr>
        <w:t>57</w:t>
      </w:r>
      <w:r>
        <w:rPr>
          <w:rFonts w:hint="eastAsia" w:ascii="仿宋_GB2312" w:hAnsi="Times New Roman" w:eastAsia="仿宋_GB2312" w:cs="Times New Roman"/>
          <w:color w:val="000000"/>
        </w:rPr>
        <w:t>%。</w:t>
      </w:r>
    </w:p>
    <w:p>
      <w:pPr>
        <w:adjustRightInd w:val="0"/>
        <w:snapToGrid w:val="0"/>
        <w:spacing w:line="600" w:lineRule="exact"/>
        <w:jc w:val="center"/>
        <w:rPr>
          <w:rFonts w:eastAsia="黑体"/>
          <w:color w:val="000000"/>
          <w:sz w:val="28"/>
          <w:szCs w:val="28"/>
        </w:rPr>
      </w:pPr>
      <w:r>
        <w:rPr>
          <w:rFonts w:hint="default" w:ascii="Times New Roman" w:hAnsi="Times New Roman" w:eastAsia="仿宋_GB2312" w:cs="Times New Roman"/>
          <w:color w:val="000000"/>
          <w:sz w:val="28"/>
          <w:szCs w:val="28"/>
          <w:highlight w:val="none"/>
        </w:rPr>
        <w:t>20</w:t>
      </w:r>
      <w:r>
        <w:rPr>
          <w:rFonts w:hint="eastAsia" w:ascii="Times New Roman" w:hAnsi="Times New Roman" w:eastAsia="仿宋_GB2312" w:cs="Times New Roman"/>
          <w:color w:val="000000"/>
          <w:sz w:val="28"/>
          <w:szCs w:val="28"/>
          <w:highlight w:val="none"/>
          <w:lang w:val="en-US" w:eastAsia="zh-CN"/>
        </w:rPr>
        <w:t>21</w:t>
      </w:r>
      <w:r>
        <w:rPr>
          <w:rFonts w:eastAsia="黑体"/>
          <w:color w:val="000000"/>
          <w:sz w:val="28"/>
          <w:szCs w:val="28"/>
        </w:rPr>
        <w:t>年全</w:t>
      </w:r>
      <w:r>
        <w:rPr>
          <w:rFonts w:hint="eastAsia" w:eastAsia="黑体"/>
          <w:color w:val="000000"/>
          <w:sz w:val="28"/>
          <w:szCs w:val="28"/>
        </w:rPr>
        <w:t>区</w:t>
      </w:r>
      <w:r>
        <w:rPr>
          <w:rFonts w:eastAsia="黑体"/>
          <w:color w:val="000000"/>
          <w:sz w:val="28"/>
          <w:szCs w:val="28"/>
        </w:rPr>
        <w:t>一般公共预算主要</w:t>
      </w:r>
      <w:r>
        <w:rPr>
          <w:rFonts w:hint="eastAsia" w:eastAsia="黑体"/>
          <w:color w:val="000000"/>
          <w:sz w:val="28"/>
          <w:szCs w:val="28"/>
        </w:rPr>
        <w:t>收入</w:t>
      </w:r>
      <w:r>
        <w:rPr>
          <w:rFonts w:eastAsia="黑体"/>
          <w:color w:val="000000"/>
          <w:sz w:val="28"/>
          <w:szCs w:val="28"/>
        </w:rPr>
        <w:t>项目</w:t>
      </w:r>
      <w:r>
        <w:rPr>
          <w:rFonts w:hint="eastAsia" w:eastAsia="黑体"/>
          <w:color w:val="000000"/>
          <w:sz w:val="28"/>
          <w:szCs w:val="28"/>
          <w:lang w:eastAsia="zh-CN"/>
        </w:rPr>
        <w:t>预计</w:t>
      </w:r>
      <w:r>
        <w:rPr>
          <w:rFonts w:eastAsia="黑体"/>
          <w:color w:val="000000"/>
          <w:sz w:val="28"/>
          <w:szCs w:val="28"/>
        </w:rPr>
        <w:t>完成情况表</w:t>
      </w:r>
    </w:p>
    <w:p>
      <w:pPr>
        <w:adjustRightInd w:val="0"/>
        <w:snapToGrid w:val="0"/>
        <w:jc w:val="center"/>
        <w:rPr>
          <w:color w:val="000000"/>
          <w:sz w:val="18"/>
          <w:szCs w:val="18"/>
        </w:rPr>
      </w:pPr>
      <w:r>
        <w:rPr>
          <w:rFonts w:eastAsia="黑体"/>
          <w:color w:val="000000"/>
          <w:sz w:val="18"/>
          <w:szCs w:val="18"/>
        </w:rPr>
        <w:t xml:space="preserve">                                                                                  </w:t>
      </w:r>
      <w:r>
        <w:rPr>
          <w:color w:val="000000"/>
          <w:sz w:val="18"/>
          <w:szCs w:val="18"/>
        </w:rPr>
        <w:t xml:space="preserve">        单位：万元</w:t>
      </w:r>
    </w:p>
    <w:tbl>
      <w:tblPr>
        <w:tblStyle w:val="10"/>
        <w:tblpPr w:leftFromText="180" w:rightFromText="180" w:vertAnchor="text" w:horzAnchor="page" w:tblpX="1636" w:tblpY="50"/>
        <w:tblOverlap w:val="never"/>
        <w:tblW w:w="0" w:type="auto"/>
        <w:tblInd w:w="0" w:type="dxa"/>
        <w:tblLayout w:type="fixed"/>
        <w:tblCellMar>
          <w:top w:w="15" w:type="dxa"/>
          <w:left w:w="15" w:type="dxa"/>
          <w:bottom w:w="15" w:type="dxa"/>
          <w:right w:w="15" w:type="dxa"/>
        </w:tblCellMar>
      </w:tblPr>
      <w:tblGrid>
        <w:gridCol w:w="2097"/>
        <w:gridCol w:w="873"/>
        <w:gridCol w:w="995"/>
        <w:gridCol w:w="805"/>
        <w:gridCol w:w="4179"/>
      </w:tblGrid>
      <w:tr>
        <w:tblPrEx>
          <w:tblCellMar>
            <w:top w:w="15" w:type="dxa"/>
            <w:left w:w="15" w:type="dxa"/>
            <w:bottom w:w="15" w:type="dxa"/>
            <w:right w:w="15" w:type="dxa"/>
          </w:tblCellMar>
        </w:tblPrEx>
        <w:trPr>
          <w:wBefore w:w="0" w:type="auto"/>
          <w:wAfter w:w="0" w:type="auto"/>
          <w:trHeight w:val="387" w:hRule="exact"/>
        </w:trPr>
        <w:tc>
          <w:tcPr>
            <w:tcW w:w="209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eastAsia="黑体"/>
                <w:color w:val="000000"/>
                <w:sz w:val="24"/>
                <w:szCs w:val="24"/>
              </w:rPr>
            </w:pPr>
            <w:r>
              <w:rPr>
                <w:rFonts w:eastAsia="黑体"/>
                <w:color w:val="000000"/>
                <w:sz w:val="24"/>
                <w:szCs w:val="24"/>
              </w:rPr>
              <w:t>科目</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eastAsia="黑体"/>
                <w:color w:val="000000"/>
                <w:sz w:val="24"/>
                <w:szCs w:val="24"/>
              </w:rPr>
            </w:pPr>
            <w:r>
              <w:rPr>
                <w:rFonts w:eastAsia="黑体"/>
                <w:color w:val="000000"/>
                <w:sz w:val="24"/>
                <w:szCs w:val="24"/>
              </w:rPr>
              <w:t>完成额</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eastAsia="黑体"/>
                <w:color w:val="000000"/>
                <w:sz w:val="24"/>
                <w:szCs w:val="24"/>
                <w:lang w:eastAsia="zh-CN"/>
              </w:rPr>
            </w:pPr>
            <w:r>
              <w:rPr>
                <w:rFonts w:hint="eastAsia" w:eastAsia="黑体"/>
                <w:color w:val="000000"/>
                <w:sz w:val="24"/>
                <w:szCs w:val="24"/>
                <w:lang w:eastAsia="zh-CN"/>
              </w:rPr>
              <w:t>上年同期</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eastAsia="黑体"/>
                <w:color w:val="000000"/>
                <w:sz w:val="24"/>
                <w:szCs w:val="24"/>
              </w:rPr>
            </w:pPr>
            <w:r>
              <w:rPr>
                <w:rFonts w:eastAsia="黑体"/>
                <w:color w:val="000000"/>
                <w:sz w:val="24"/>
                <w:szCs w:val="24"/>
              </w:rPr>
              <w:t>增减%</w:t>
            </w:r>
          </w:p>
        </w:tc>
        <w:tc>
          <w:tcPr>
            <w:tcW w:w="417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eastAsia="黑体"/>
                <w:color w:val="000000"/>
                <w:sz w:val="24"/>
                <w:szCs w:val="24"/>
              </w:rPr>
            </w:pPr>
            <w:r>
              <w:rPr>
                <w:rFonts w:eastAsia="黑体"/>
                <w:color w:val="000000"/>
                <w:sz w:val="24"/>
                <w:szCs w:val="24"/>
              </w:rPr>
              <w:t>影响增减的主要因素</w:t>
            </w:r>
          </w:p>
        </w:tc>
      </w:tr>
      <w:tr>
        <w:tblPrEx>
          <w:tblCellMar>
            <w:top w:w="15" w:type="dxa"/>
            <w:left w:w="15" w:type="dxa"/>
            <w:bottom w:w="15" w:type="dxa"/>
            <w:right w:w="15" w:type="dxa"/>
          </w:tblCellMar>
        </w:tblPrEx>
        <w:trPr>
          <w:wBefore w:w="0" w:type="auto"/>
          <w:wAfter w:w="0" w:type="auto"/>
          <w:trHeight w:val="581" w:hRule="exact"/>
        </w:trPr>
        <w:tc>
          <w:tcPr>
            <w:tcW w:w="209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eastAsia="宋体"/>
                <w:color w:val="000000"/>
                <w:kern w:val="0"/>
                <w:sz w:val="21"/>
                <w:szCs w:val="21"/>
                <w:lang w:eastAsia="zh-CN" w:bidi="ar"/>
              </w:rPr>
            </w:pPr>
            <w:r>
              <w:rPr>
                <w:rFonts w:hint="eastAsia"/>
                <w:color w:val="000000"/>
                <w:kern w:val="0"/>
                <w:sz w:val="21"/>
                <w:szCs w:val="21"/>
                <w:lang w:eastAsia="zh-CN" w:bidi="ar"/>
              </w:rPr>
              <w:t>增值税</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eastAsia="宋体"/>
                <w:color w:val="000000"/>
                <w:kern w:val="0"/>
                <w:sz w:val="21"/>
                <w:szCs w:val="21"/>
                <w:lang w:val="en-US" w:eastAsia="zh-CN" w:bidi="ar"/>
              </w:rPr>
            </w:pPr>
            <w:r>
              <w:rPr>
                <w:rFonts w:hint="eastAsia" w:eastAsia="宋体"/>
                <w:color w:val="000000"/>
                <w:kern w:val="0"/>
                <w:sz w:val="21"/>
                <w:szCs w:val="21"/>
                <w:lang w:val="en-US" w:eastAsia="zh-CN" w:bidi="ar"/>
              </w:rPr>
              <w:t>21245</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eastAsia="宋体"/>
                <w:color w:val="000000"/>
                <w:kern w:val="0"/>
                <w:sz w:val="21"/>
                <w:szCs w:val="21"/>
                <w:lang w:val="en-US" w:eastAsia="zh-CN" w:bidi="ar"/>
              </w:rPr>
            </w:pPr>
            <w:r>
              <w:rPr>
                <w:rFonts w:hint="eastAsia" w:eastAsia="宋体"/>
                <w:color w:val="000000"/>
                <w:kern w:val="0"/>
                <w:sz w:val="21"/>
                <w:szCs w:val="21"/>
                <w:lang w:val="en-US" w:eastAsia="zh-CN" w:bidi="ar"/>
              </w:rPr>
              <w:t>15241</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eastAsia="宋体"/>
                <w:color w:val="000000"/>
                <w:kern w:val="0"/>
                <w:sz w:val="21"/>
                <w:szCs w:val="21"/>
                <w:lang w:val="en-US" w:eastAsia="zh-CN" w:bidi="ar"/>
              </w:rPr>
            </w:pPr>
            <w:r>
              <w:rPr>
                <w:rFonts w:hint="eastAsia" w:eastAsia="宋体"/>
                <w:color w:val="000000"/>
                <w:kern w:val="0"/>
                <w:sz w:val="21"/>
                <w:szCs w:val="21"/>
                <w:lang w:val="en-US" w:eastAsia="zh-CN" w:bidi="ar"/>
              </w:rPr>
              <w:t>39.4</w:t>
            </w:r>
          </w:p>
        </w:tc>
        <w:tc>
          <w:tcPr>
            <w:tcW w:w="41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eastAsia="宋体"/>
                <w:color w:val="000000"/>
                <w:kern w:val="0"/>
                <w:sz w:val="21"/>
                <w:szCs w:val="21"/>
                <w:highlight w:val="green"/>
                <w:lang w:eastAsia="zh-CN" w:bidi="ar"/>
              </w:rPr>
            </w:pPr>
            <w:r>
              <w:rPr>
                <w:rFonts w:hint="eastAsia"/>
                <w:color w:val="000000"/>
                <w:kern w:val="0"/>
                <w:sz w:val="21"/>
                <w:szCs w:val="21"/>
                <w:highlight w:val="none"/>
                <w:lang w:eastAsia="zh-CN" w:bidi="ar"/>
              </w:rPr>
              <w:t>当年龙山泉啤酒和富三家子矿业缴纳数额较大</w:t>
            </w:r>
          </w:p>
        </w:tc>
      </w:tr>
      <w:tr>
        <w:tblPrEx>
          <w:tblCellMar>
            <w:top w:w="15" w:type="dxa"/>
            <w:left w:w="15" w:type="dxa"/>
            <w:bottom w:w="15" w:type="dxa"/>
            <w:right w:w="15" w:type="dxa"/>
          </w:tblCellMar>
        </w:tblPrEx>
        <w:trPr>
          <w:wBefore w:w="0" w:type="auto"/>
          <w:wAfter w:w="0" w:type="auto"/>
          <w:trHeight w:val="447" w:hRule="exact"/>
        </w:trPr>
        <w:tc>
          <w:tcPr>
            <w:tcW w:w="209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eastAsia="宋体"/>
                <w:color w:val="000000"/>
                <w:kern w:val="0"/>
                <w:sz w:val="21"/>
                <w:szCs w:val="21"/>
                <w:lang w:eastAsia="zh-CN" w:bidi="ar"/>
              </w:rPr>
            </w:pPr>
            <w:r>
              <w:rPr>
                <w:rFonts w:hint="eastAsia"/>
                <w:color w:val="000000"/>
                <w:kern w:val="0"/>
                <w:sz w:val="21"/>
                <w:szCs w:val="21"/>
                <w:lang w:eastAsia="zh-CN" w:bidi="ar"/>
              </w:rPr>
              <w:t>企业所得税</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eastAsia="宋体"/>
                <w:color w:val="000000"/>
                <w:kern w:val="0"/>
                <w:sz w:val="21"/>
                <w:szCs w:val="21"/>
                <w:lang w:val="en-US" w:eastAsia="zh-CN" w:bidi="ar"/>
              </w:rPr>
            </w:pPr>
            <w:r>
              <w:rPr>
                <w:rFonts w:hint="eastAsia" w:eastAsia="宋体"/>
                <w:color w:val="000000"/>
                <w:kern w:val="0"/>
                <w:sz w:val="21"/>
                <w:szCs w:val="21"/>
                <w:lang w:val="en-US" w:eastAsia="zh-CN" w:bidi="ar"/>
              </w:rPr>
              <w:t>12000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2883</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eastAsia="宋体"/>
                <w:color w:val="000000"/>
                <w:kern w:val="0"/>
                <w:sz w:val="21"/>
                <w:szCs w:val="21"/>
                <w:lang w:val="en-US" w:eastAsia="zh-CN" w:bidi="ar"/>
              </w:rPr>
            </w:pPr>
            <w:r>
              <w:rPr>
                <w:rFonts w:hint="eastAsia" w:eastAsia="宋体"/>
                <w:color w:val="000000"/>
                <w:kern w:val="0"/>
                <w:sz w:val="21"/>
                <w:szCs w:val="21"/>
                <w:lang w:val="en-US" w:eastAsia="zh-CN" w:bidi="ar"/>
              </w:rPr>
              <w:t>316.2</w:t>
            </w:r>
          </w:p>
        </w:tc>
        <w:tc>
          <w:tcPr>
            <w:tcW w:w="41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eastAsia="宋体"/>
                <w:color w:val="000000"/>
                <w:kern w:val="0"/>
                <w:sz w:val="21"/>
                <w:szCs w:val="21"/>
                <w:highlight w:val="green"/>
                <w:lang w:eastAsia="zh-CN" w:bidi="ar"/>
              </w:rPr>
            </w:pPr>
            <w:r>
              <w:rPr>
                <w:rFonts w:hint="eastAsia"/>
                <w:color w:val="000000"/>
                <w:kern w:val="0"/>
                <w:sz w:val="21"/>
                <w:szCs w:val="21"/>
                <w:highlight w:val="none"/>
                <w:lang w:eastAsia="zh-CN" w:bidi="ar"/>
              </w:rPr>
              <w:t>当年龙山泉啤酒缴纳数额较大</w:t>
            </w:r>
          </w:p>
        </w:tc>
      </w:tr>
      <w:tr>
        <w:tblPrEx>
          <w:tblCellMar>
            <w:top w:w="15" w:type="dxa"/>
            <w:left w:w="15" w:type="dxa"/>
            <w:bottom w:w="15" w:type="dxa"/>
            <w:right w:w="15" w:type="dxa"/>
          </w:tblCellMar>
        </w:tblPrEx>
        <w:trPr>
          <w:wBefore w:w="0" w:type="auto"/>
          <w:wAfter w:w="0" w:type="auto"/>
          <w:trHeight w:val="447" w:hRule="exact"/>
        </w:trPr>
        <w:tc>
          <w:tcPr>
            <w:tcW w:w="209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eastAsia="宋体"/>
                <w:color w:val="000000"/>
                <w:kern w:val="0"/>
                <w:sz w:val="21"/>
                <w:szCs w:val="21"/>
                <w:lang w:eastAsia="zh-CN" w:bidi="ar"/>
              </w:rPr>
            </w:pPr>
            <w:r>
              <w:rPr>
                <w:rFonts w:hint="eastAsia"/>
                <w:color w:val="000000"/>
                <w:kern w:val="0"/>
                <w:sz w:val="21"/>
                <w:szCs w:val="21"/>
                <w:lang w:eastAsia="zh-CN" w:bidi="ar"/>
              </w:rPr>
              <w:t>房产税</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eastAsia="宋体"/>
                <w:color w:val="000000"/>
                <w:kern w:val="0"/>
                <w:sz w:val="21"/>
                <w:szCs w:val="21"/>
                <w:lang w:val="en-US" w:eastAsia="zh-CN" w:bidi="ar"/>
              </w:rPr>
            </w:pPr>
            <w:r>
              <w:rPr>
                <w:rFonts w:hint="eastAsia" w:eastAsia="宋体"/>
                <w:color w:val="000000"/>
                <w:kern w:val="0"/>
                <w:sz w:val="21"/>
                <w:szCs w:val="21"/>
                <w:lang w:val="en-US" w:eastAsia="zh-CN" w:bidi="ar"/>
              </w:rPr>
              <w:t>2400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2097</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eastAsia="宋体"/>
                <w:color w:val="000000"/>
                <w:kern w:val="0"/>
                <w:sz w:val="21"/>
                <w:szCs w:val="21"/>
                <w:lang w:val="en-US" w:eastAsia="zh-CN" w:bidi="ar"/>
              </w:rPr>
            </w:pPr>
            <w:r>
              <w:rPr>
                <w:rFonts w:hint="eastAsia" w:eastAsia="宋体"/>
                <w:color w:val="000000"/>
                <w:kern w:val="0"/>
                <w:sz w:val="21"/>
                <w:szCs w:val="21"/>
                <w:lang w:val="en-US" w:eastAsia="zh-CN" w:bidi="ar"/>
              </w:rPr>
              <w:t>14.4</w:t>
            </w:r>
          </w:p>
        </w:tc>
        <w:tc>
          <w:tcPr>
            <w:tcW w:w="41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eastAsia="宋体"/>
                <w:color w:val="000000"/>
                <w:kern w:val="0"/>
                <w:sz w:val="21"/>
                <w:szCs w:val="21"/>
                <w:highlight w:val="green"/>
                <w:lang w:eastAsia="zh-CN" w:bidi="ar"/>
              </w:rPr>
            </w:pPr>
            <w:r>
              <w:rPr>
                <w:rFonts w:hint="eastAsia"/>
                <w:color w:val="000000"/>
                <w:kern w:val="0"/>
                <w:sz w:val="21"/>
                <w:szCs w:val="21"/>
                <w:highlight w:val="none"/>
                <w:lang w:eastAsia="zh-CN" w:bidi="ar"/>
              </w:rPr>
              <w:t>当年香溢欧洲城缴纳数额较大</w:t>
            </w:r>
          </w:p>
        </w:tc>
      </w:tr>
      <w:tr>
        <w:tblPrEx>
          <w:tblCellMar>
            <w:top w:w="15" w:type="dxa"/>
            <w:left w:w="15" w:type="dxa"/>
            <w:bottom w:w="15" w:type="dxa"/>
            <w:right w:w="15" w:type="dxa"/>
          </w:tblCellMar>
        </w:tblPrEx>
        <w:trPr>
          <w:wBefore w:w="0" w:type="auto"/>
          <w:wAfter w:w="0" w:type="auto"/>
          <w:trHeight w:val="447" w:hRule="exact"/>
        </w:trPr>
        <w:tc>
          <w:tcPr>
            <w:tcW w:w="209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eastAsia="宋体"/>
                <w:color w:val="000000"/>
                <w:kern w:val="0"/>
                <w:sz w:val="21"/>
                <w:szCs w:val="21"/>
                <w:lang w:eastAsia="zh-CN" w:bidi="ar"/>
              </w:rPr>
            </w:pPr>
            <w:r>
              <w:rPr>
                <w:rFonts w:hint="eastAsia"/>
                <w:color w:val="000000"/>
                <w:kern w:val="0"/>
                <w:sz w:val="21"/>
                <w:szCs w:val="21"/>
                <w:lang w:val="en-US" w:eastAsia="zh-CN" w:bidi="ar"/>
              </w:rPr>
              <w:t>城市维护建设税</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eastAsia="宋体"/>
                <w:color w:val="000000"/>
                <w:kern w:val="0"/>
                <w:sz w:val="21"/>
                <w:szCs w:val="21"/>
                <w:lang w:val="en-US" w:eastAsia="zh-CN" w:bidi="ar"/>
              </w:rPr>
            </w:pPr>
            <w:r>
              <w:rPr>
                <w:rFonts w:hint="eastAsia" w:eastAsia="宋体"/>
                <w:color w:val="000000"/>
                <w:kern w:val="0"/>
                <w:sz w:val="21"/>
                <w:szCs w:val="21"/>
                <w:lang w:val="en-US" w:eastAsia="zh-CN" w:bidi="ar"/>
              </w:rPr>
              <w:t>3149</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2243</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eastAsia="宋体"/>
                <w:color w:val="000000"/>
                <w:kern w:val="0"/>
                <w:sz w:val="21"/>
                <w:szCs w:val="21"/>
                <w:lang w:val="en-US" w:eastAsia="zh-CN" w:bidi="ar"/>
              </w:rPr>
            </w:pPr>
            <w:r>
              <w:rPr>
                <w:rFonts w:hint="eastAsia" w:eastAsia="宋体"/>
                <w:color w:val="000000"/>
                <w:kern w:val="0"/>
                <w:sz w:val="21"/>
                <w:szCs w:val="21"/>
                <w:lang w:val="en-US" w:eastAsia="zh-CN" w:bidi="ar"/>
              </w:rPr>
              <w:t>40.4</w:t>
            </w:r>
          </w:p>
        </w:tc>
        <w:tc>
          <w:tcPr>
            <w:tcW w:w="41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eastAsia="宋体"/>
                <w:color w:val="000000"/>
                <w:kern w:val="0"/>
                <w:sz w:val="21"/>
                <w:szCs w:val="21"/>
                <w:highlight w:val="green"/>
                <w:lang w:eastAsia="zh-CN" w:bidi="ar"/>
              </w:rPr>
            </w:pPr>
            <w:r>
              <w:rPr>
                <w:rFonts w:hint="eastAsia"/>
                <w:color w:val="000000"/>
                <w:kern w:val="0"/>
                <w:sz w:val="21"/>
                <w:szCs w:val="21"/>
                <w:highlight w:val="none"/>
                <w:lang w:eastAsia="zh-CN" w:bidi="ar"/>
              </w:rPr>
              <w:t>当年龙山泉啤酒和富三家子矿业缴纳数额较大</w:t>
            </w:r>
          </w:p>
        </w:tc>
      </w:tr>
      <w:tr>
        <w:tblPrEx>
          <w:tblCellMar>
            <w:top w:w="15" w:type="dxa"/>
            <w:left w:w="15" w:type="dxa"/>
            <w:bottom w:w="15" w:type="dxa"/>
            <w:right w:w="15" w:type="dxa"/>
          </w:tblCellMar>
        </w:tblPrEx>
        <w:trPr>
          <w:wBefore w:w="0" w:type="auto"/>
          <w:wAfter w:w="0" w:type="auto"/>
          <w:trHeight w:val="447" w:hRule="exact"/>
        </w:trPr>
        <w:tc>
          <w:tcPr>
            <w:tcW w:w="209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color w:val="000000"/>
                <w:kern w:val="0"/>
                <w:sz w:val="21"/>
                <w:szCs w:val="21"/>
                <w:lang w:eastAsia="zh-CN" w:bidi="ar"/>
              </w:rPr>
            </w:pPr>
            <w:r>
              <w:rPr>
                <w:rFonts w:hint="eastAsia"/>
                <w:color w:val="000000"/>
                <w:kern w:val="0"/>
                <w:sz w:val="21"/>
                <w:szCs w:val="21"/>
                <w:lang w:eastAsia="zh-CN" w:bidi="ar"/>
              </w:rPr>
              <w:t>土地增值税</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eastAsia="宋体"/>
                <w:color w:val="000000"/>
                <w:kern w:val="0"/>
                <w:sz w:val="21"/>
                <w:szCs w:val="21"/>
                <w:lang w:val="en-US" w:eastAsia="zh-CN" w:bidi="ar"/>
              </w:rPr>
            </w:pPr>
            <w:r>
              <w:rPr>
                <w:rFonts w:hint="eastAsia" w:eastAsia="宋体"/>
                <w:color w:val="000000"/>
                <w:kern w:val="0"/>
                <w:sz w:val="21"/>
                <w:szCs w:val="21"/>
                <w:lang w:val="en-US" w:eastAsia="zh-CN" w:bidi="ar"/>
              </w:rPr>
              <w:t>1300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1067</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eastAsia="宋体"/>
                <w:color w:val="000000"/>
                <w:kern w:val="0"/>
                <w:sz w:val="21"/>
                <w:szCs w:val="21"/>
                <w:lang w:val="en-US" w:eastAsia="zh-CN" w:bidi="ar"/>
              </w:rPr>
            </w:pPr>
            <w:r>
              <w:rPr>
                <w:rFonts w:hint="eastAsia" w:eastAsia="宋体"/>
                <w:color w:val="000000"/>
                <w:kern w:val="0"/>
                <w:sz w:val="21"/>
                <w:szCs w:val="21"/>
                <w:lang w:val="en-US" w:eastAsia="zh-CN" w:bidi="ar"/>
              </w:rPr>
              <w:t>21.8</w:t>
            </w:r>
          </w:p>
        </w:tc>
        <w:tc>
          <w:tcPr>
            <w:tcW w:w="41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eastAsia="宋体"/>
                <w:color w:val="000000"/>
                <w:kern w:val="0"/>
                <w:sz w:val="21"/>
                <w:szCs w:val="21"/>
                <w:highlight w:val="green"/>
                <w:lang w:eastAsia="zh-CN" w:bidi="ar"/>
              </w:rPr>
            </w:pPr>
            <w:r>
              <w:rPr>
                <w:rFonts w:hint="eastAsia"/>
                <w:color w:val="000000"/>
                <w:kern w:val="0"/>
                <w:sz w:val="21"/>
                <w:szCs w:val="21"/>
                <w:highlight w:val="none"/>
                <w:lang w:eastAsia="zh-CN" w:bidi="ar"/>
              </w:rPr>
              <w:t>当年富虹房地产和碧桂园缴纳数额较大</w:t>
            </w:r>
          </w:p>
        </w:tc>
      </w:tr>
      <w:tr>
        <w:tblPrEx>
          <w:tblCellMar>
            <w:top w:w="15" w:type="dxa"/>
            <w:left w:w="15" w:type="dxa"/>
            <w:bottom w:w="15" w:type="dxa"/>
            <w:right w:w="15" w:type="dxa"/>
          </w:tblCellMar>
        </w:tblPrEx>
        <w:trPr>
          <w:wBefore w:w="0" w:type="auto"/>
          <w:wAfter w:w="0" w:type="auto"/>
          <w:trHeight w:val="447" w:hRule="exact"/>
        </w:trPr>
        <w:tc>
          <w:tcPr>
            <w:tcW w:w="209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eastAsia="宋体"/>
                <w:color w:val="000000"/>
                <w:kern w:val="0"/>
                <w:sz w:val="21"/>
                <w:szCs w:val="21"/>
                <w:lang w:eastAsia="zh-CN" w:bidi="ar"/>
              </w:rPr>
            </w:pPr>
            <w:r>
              <w:rPr>
                <w:rFonts w:hint="eastAsia"/>
                <w:color w:val="000000"/>
                <w:kern w:val="0"/>
                <w:sz w:val="21"/>
                <w:szCs w:val="21"/>
                <w:lang w:eastAsia="zh-CN" w:bidi="ar"/>
              </w:rPr>
              <w:t>耕地占用税</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eastAsia="宋体"/>
                <w:color w:val="000000"/>
                <w:kern w:val="0"/>
                <w:sz w:val="21"/>
                <w:szCs w:val="21"/>
                <w:lang w:val="en-US" w:eastAsia="zh-CN" w:bidi="ar"/>
              </w:rPr>
            </w:pPr>
            <w:r>
              <w:rPr>
                <w:rFonts w:hint="eastAsia" w:eastAsia="宋体"/>
                <w:color w:val="000000"/>
                <w:kern w:val="0"/>
                <w:sz w:val="21"/>
                <w:szCs w:val="21"/>
                <w:lang w:val="en-US" w:eastAsia="zh-CN" w:bidi="ar"/>
              </w:rPr>
              <w:t>530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2182</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eastAsia="宋体"/>
                <w:color w:val="000000"/>
                <w:kern w:val="0"/>
                <w:sz w:val="21"/>
                <w:szCs w:val="21"/>
                <w:lang w:val="en-US" w:eastAsia="zh-CN" w:bidi="ar"/>
              </w:rPr>
            </w:pPr>
            <w:r>
              <w:rPr>
                <w:rFonts w:hint="eastAsia" w:eastAsia="宋体"/>
                <w:color w:val="000000"/>
                <w:kern w:val="0"/>
                <w:sz w:val="21"/>
                <w:szCs w:val="21"/>
                <w:lang w:val="en-US" w:eastAsia="zh-CN" w:bidi="ar"/>
              </w:rPr>
              <w:t>-75.7</w:t>
            </w:r>
          </w:p>
        </w:tc>
        <w:tc>
          <w:tcPr>
            <w:tcW w:w="41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eastAsia="宋体"/>
                <w:color w:val="000000"/>
                <w:kern w:val="0"/>
                <w:sz w:val="21"/>
                <w:szCs w:val="21"/>
                <w:highlight w:val="green"/>
                <w:lang w:eastAsia="zh-CN" w:bidi="ar"/>
              </w:rPr>
            </w:pPr>
            <w:r>
              <w:rPr>
                <w:rFonts w:hint="eastAsia"/>
                <w:color w:val="000000"/>
                <w:kern w:val="0"/>
                <w:sz w:val="21"/>
                <w:szCs w:val="21"/>
                <w:highlight w:val="none"/>
                <w:lang w:eastAsia="zh-CN" w:bidi="ar"/>
              </w:rPr>
              <w:t>上年宇航矿业缴纳数额较大</w:t>
            </w:r>
          </w:p>
        </w:tc>
      </w:tr>
      <w:tr>
        <w:tblPrEx>
          <w:tblCellMar>
            <w:top w:w="15" w:type="dxa"/>
            <w:left w:w="15" w:type="dxa"/>
            <w:bottom w:w="15" w:type="dxa"/>
            <w:right w:w="15" w:type="dxa"/>
          </w:tblCellMar>
        </w:tblPrEx>
        <w:trPr>
          <w:wBefore w:w="0" w:type="auto"/>
          <w:wAfter w:w="0" w:type="auto"/>
          <w:trHeight w:val="447" w:hRule="exact"/>
        </w:trPr>
        <w:tc>
          <w:tcPr>
            <w:tcW w:w="209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color w:val="000000"/>
                <w:kern w:val="0"/>
                <w:sz w:val="21"/>
                <w:szCs w:val="21"/>
                <w:lang w:eastAsia="zh-CN" w:bidi="ar"/>
              </w:rPr>
            </w:pPr>
            <w:r>
              <w:rPr>
                <w:rFonts w:hint="eastAsia"/>
                <w:color w:val="000000"/>
                <w:kern w:val="0"/>
                <w:sz w:val="21"/>
                <w:szCs w:val="21"/>
                <w:lang w:eastAsia="zh-CN" w:bidi="ar"/>
              </w:rPr>
              <w:t>契税</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7805</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7452</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4.7</w:t>
            </w:r>
          </w:p>
        </w:tc>
        <w:tc>
          <w:tcPr>
            <w:tcW w:w="41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color w:val="000000"/>
                <w:kern w:val="0"/>
                <w:sz w:val="21"/>
                <w:szCs w:val="21"/>
                <w:highlight w:val="green"/>
                <w:lang w:eastAsia="zh-CN" w:bidi="ar"/>
              </w:rPr>
            </w:pPr>
            <w:r>
              <w:rPr>
                <w:rFonts w:hint="eastAsia"/>
                <w:color w:val="000000"/>
                <w:kern w:val="0"/>
                <w:sz w:val="21"/>
                <w:szCs w:val="21"/>
                <w:highlight w:val="none"/>
                <w:lang w:eastAsia="zh-CN" w:bidi="ar"/>
              </w:rPr>
              <w:t>当年欧陆置业缴纳数额较大</w:t>
            </w:r>
          </w:p>
        </w:tc>
      </w:tr>
      <w:tr>
        <w:tblPrEx>
          <w:tblCellMar>
            <w:top w:w="15" w:type="dxa"/>
            <w:left w:w="15" w:type="dxa"/>
            <w:bottom w:w="15" w:type="dxa"/>
            <w:right w:w="15" w:type="dxa"/>
          </w:tblCellMar>
        </w:tblPrEx>
        <w:trPr>
          <w:wBefore w:w="0" w:type="auto"/>
          <w:wAfter w:w="0" w:type="auto"/>
          <w:trHeight w:val="447" w:hRule="exact"/>
        </w:trPr>
        <w:tc>
          <w:tcPr>
            <w:tcW w:w="209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eastAsia="宋体"/>
                <w:color w:val="000000"/>
                <w:kern w:val="0"/>
                <w:sz w:val="21"/>
                <w:szCs w:val="21"/>
                <w:lang w:eastAsia="zh-CN" w:bidi="ar"/>
              </w:rPr>
            </w:pPr>
            <w:r>
              <w:rPr>
                <w:rFonts w:hint="eastAsia"/>
                <w:color w:val="000000"/>
                <w:kern w:val="0"/>
                <w:sz w:val="21"/>
                <w:szCs w:val="21"/>
                <w:lang w:eastAsia="zh-CN" w:bidi="ar"/>
              </w:rPr>
              <w:t>罚没收入</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eastAsia="宋体"/>
                <w:color w:val="000000"/>
                <w:kern w:val="0"/>
                <w:sz w:val="21"/>
                <w:szCs w:val="21"/>
                <w:lang w:val="en-US" w:eastAsia="zh-CN" w:bidi="ar"/>
              </w:rPr>
            </w:pPr>
            <w:r>
              <w:rPr>
                <w:rFonts w:hint="eastAsia" w:eastAsia="宋体"/>
                <w:color w:val="000000"/>
                <w:kern w:val="0"/>
                <w:sz w:val="21"/>
                <w:szCs w:val="21"/>
                <w:lang w:val="en-US" w:eastAsia="zh-CN" w:bidi="ar"/>
              </w:rPr>
              <w:t>1436</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280</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eastAsia="宋体"/>
                <w:color w:val="000000"/>
                <w:kern w:val="0"/>
                <w:sz w:val="21"/>
                <w:szCs w:val="21"/>
                <w:lang w:val="en-US" w:eastAsia="zh-CN" w:bidi="ar"/>
              </w:rPr>
            </w:pPr>
            <w:r>
              <w:rPr>
                <w:rFonts w:hint="eastAsia" w:eastAsia="宋体"/>
                <w:color w:val="000000"/>
                <w:kern w:val="0"/>
                <w:sz w:val="21"/>
                <w:szCs w:val="21"/>
                <w:lang w:val="en-US" w:eastAsia="zh-CN" w:bidi="ar"/>
              </w:rPr>
              <w:t>412.9</w:t>
            </w:r>
          </w:p>
        </w:tc>
        <w:tc>
          <w:tcPr>
            <w:tcW w:w="41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eastAsia="宋体"/>
                <w:color w:val="000000"/>
                <w:kern w:val="0"/>
                <w:sz w:val="21"/>
                <w:szCs w:val="21"/>
                <w:highlight w:val="green"/>
                <w:lang w:eastAsia="zh-CN" w:bidi="ar"/>
              </w:rPr>
            </w:pPr>
            <w:r>
              <w:rPr>
                <w:rFonts w:hint="eastAsia"/>
                <w:color w:val="000000"/>
                <w:kern w:val="0"/>
                <w:sz w:val="21"/>
                <w:szCs w:val="21"/>
                <w:highlight w:val="none"/>
                <w:lang w:eastAsia="zh-CN" w:bidi="ar"/>
              </w:rPr>
              <w:t>当年罚没事项较多</w:t>
            </w:r>
          </w:p>
        </w:tc>
      </w:tr>
      <w:tr>
        <w:tblPrEx>
          <w:tblCellMar>
            <w:top w:w="15" w:type="dxa"/>
            <w:left w:w="15" w:type="dxa"/>
            <w:bottom w:w="15" w:type="dxa"/>
            <w:right w:w="15" w:type="dxa"/>
          </w:tblCellMar>
        </w:tblPrEx>
        <w:trPr>
          <w:wBefore w:w="0" w:type="auto"/>
          <w:wAfter w:w="0" w:type="auto"/>
          <w:trHeight w:val="447" w:hRule="exact"/>
        </w:trPr>
        <w:tc>
          <w:tcPr>
            <w:tcW w:w="209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eastAsia="宋体"/>
                <w:color w:val="000000"/>
                <w:kern w:val="0"/>
                <w:sz w:val="21"/>
                <w:szCs w:val="21"/>
                <w:lang w:eastAsia="zh-CN" w:bidi="ar"/>
              </w:rPr>
            </w:pPr>
            <w:r>
              <w:rPr>
                <w:rFonts w:hint="eastAsia"/>
                <w:color w:val="000000"/>
                <w:kern w:val="0"/>
                <w:sz w:val="21"/>
                <w:szCs w:val="21"/>
                <w:lang w:eastAsia="zh-CN" w:bidi="ar"/>
              </w:rPr>
              <w:t>国有资产有偿使用收入</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eastAsia="宋体"/>
                <w:color w:val="000000"/>
                <w:kern w:val="0"/>
                <w:sz w:val="21"/>
                <w:szCs w:val="21"/>
                <w:lang w:val="en-US" w:eastAsia="zh-CN" w:bidi="ar"/>
              </w:rPr>
            </w:pPr>
            <w:r>
              <w:rPr>
                <w:rFonts w:hint="eastAsia" w:eastAsia="宋体"/>
                <w:color w:val="000000"/>
                <w:kern w:val="0"/>
                <w:sz w:val="21"/>
                <w:szCs w:val="21"/>
                <w:lang w:val="en-US" w:eastAsia="zh-CN" w:bidi="ar"/>
              </w:rPr>
              <w:t>370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8133</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eastAsia="宋体"/>
                <w:color w:val="000000"/>
                <w:kern w:val="0"/>
                <w:sz w:val="21"/>
                <w:szCs w:val="21"/>
                <w:lang w:val="en-US" w:eastAsia="zh-CN" w:bidi="ar"/>
              </w:rPr>
            </w:pPr>
            <w:r>
              <w:rPr>
                <w:rFonts w:hint="eastAsia" w:eastAsia="宋体"/>
                <w:color w:val="000000"/>
                <w:kern w:val="0"/>
                <w:sz w:val="21"/>
                <w:szCs w:val="21"/>
                <w:lang w:val="en-US" w:eastAsia="zh-CN" w:bidi="ar"/>
              </w:rPr>
              <w:t>-95.5</w:t>
            </w:r>
          </w:p>
        </w:tc>
        <w:tc>
          <w:tcPr>
            <w:tcW w:w="41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eastAsia="宋体"/>
                <w:color w:val="000000"/>
                <w:kern w:val="0"/>
                <w:sz w:val="21"/>
                <w:szCs w:val="21"/>
                <w:highlight w:val="green"/>
                <w:lang w:eastAsia="zh-CN" w:bidi="ar"/>
              </w:rPr>
            </w:pPr>
            <w:r>
              <w:rPr>
                <w:rFonts w:hint="eastAsia"/>
                <w:color w:val="000000"/>
                <w:kern w:val="0"/>
                <w:sz w:val="21"/>
                <w:szCs w:val="21"/>
                <w:highlight w:val="none"/>
                <w:lang w:eastAsia="zh-CN" w:bidi="ar"/>
              </w:rPr>
              <w:t>当年国有资产处置收入较少</w:t>
            </w:r>
          </w:p>
        </w:tc>
      </w:tr>
    </w:tbl>
    <w:p>
      <w:pPr>
        <w:spacing w:line="560" w:lineRule="exact"/>
        <w:ind w:firstLine="632" w:firstLineChars="200"/>
        <w:rPr>
          <w:rFonts w:eastAsia="仿宋_GB2312"/>
          <w:color w:val="000000"/>
        </w:rPr>
      </w:pPr>
      <w:r>
        <w:rPr>
          <w:rFonts w:eastAsia="仿宋_GB2312"/>
          <w:b/>
          <w:color w:val="000000"/>
        </w:rPr>
        <w:t>2.一般公共预算支出情况</w:t>
      </w:r>
    </w:p>
    <w:p>
      <w:pPr>
        <w:ind w:firstLine="632" w:firstLineChars="200"/>
        <w:rPr>
          <w:rFonts w:hint="eastAsia" w:ascii="仿宋_GB2312" w:hAnsi="Times New Roman" w:eastAsia="仿宋_GB2312" w:cs="Times New Roman"/>
          <w:color w:val="000000"/>
        </w:rPr>
      </w:pPr>
      <w:r>
        <w:rPr>
          <w:rFonts w:hint="default" w:ascii="仿宋_GB2312" w:hAnsi="Times New Roman" w:eastAsia="仿宋_GB2312" w:cs="Times New Roman"/>
          <w:color w:val="000000"/>
        </w:rPr>
        <w:t>20</w:t>
      </w:r>
      <w:r>
        <w:rPr>
          <w:rFonts w:hint="eastAsia" w:ascii="仿宋_GB2312" w:hAnsi="Times New Roman" w:eastAsia="仿宋_GB2312" w:cs="Times New Roman"/>
          <w:color w:val="000000"/>
          <w:lang w:val="en-US" w:eastAsia="zh-CN"/>
        </w:rPr>
        <w:t>21</w:t>
      </w:r>
      <w:r>
        <w:rPr>
          <w:rFonts w:hint="default" w:ascii="仿宋_GB2312" w:hAnsi="Times New Roman" w:eastAsia="仿宋_GB2312" w:cs="Times New Roman"/>
          <w:color w:val="000000"/>
        </w:rPr>
        <w:t>年，全</w:t>
      </w:r>
      <w:r>
        <w:rPr>
          <w:rFonts w:hint="eastAsia" w:ascii="仿宋_GB2312" w:hAnsi="Times New Roman" w:eastAsia="仿宋_GB2312" w:cs="Times New Roman"/>
          <w:color w:val="000000"/>
        </w:rPr>
        <w:t>区</w:t>
      </w:r>
      <w:r>
        <w:rPr>
          <w:rFonts w:hint="default" w:ascii="仿宋_GB2312" w:hAnsi="Times New Roman" w:eastAsia="仿宋_GB2312" w:cs="Times New Roman"/>
          <w:color w:val="000000"/>
        </w:rPr>
        <w:t>一般公共预算支出</w:t>
      </w:r>
      <w:r>
        <w:rPr>
          <w:rFonts w:hint="eastAsia" w:ascii="仿宋_GB2312" w:hAnsi="Times New Roman" w:eastAsia="仿宋_GB2312" w:cs="Times New Roman"/>
          <w:color w:val="000000"/>
          <w:lang w:eastAsia="zh-CN"/>
        </w:rPr>
        <w:t>预计</w:t>
      </w:r>
      <w:r>
        <w:rPr>
          <w:rFonts w:hint="default" w:ascii="仿宋_GB2312" w:hAnsi="Times New Roman" w:eastAsia="仿宋_GB2312" w:cs="Times New Roman"/>
          <w:color w:val="000000"/>
        </w:rPr>
        <w:t>完成</w:t>
      </w:r>
      <w:r>
        <w:rPr>
          <w:rFonts w:hint="eastAsia" w:ascii="仿宋_GB2312" w:hAnsi="Times New Roman" w:eastAsia="仿宋_GB2312" w:cs="Times New Roman"/>
          <w:color w:val="000000"/>
          <w:lang w:val="en-US" w:eastAsia="zh-CN"/>
        </w:rPr>
        <w:t>87500</w:t>
      </w:r>
      <w:r>
        <w:rPr>
          <w:rFonts w:hint="default" w:ascii="仿宋_GB2312" w:hAnsi="Times New Roman" w:eastAsia="仿宋_GB2312" w:cs="Times New Roman"/>
          <w:color w:val="000000"/>
        </w:rPr>
        <w:t>万元，</w:t>
      </w:r>
      <w:r>
        <w:rPr>
          <w:rFonts w:hint="eastAsia" w:ascii="仿宋_GB2312" w:hAnsi="Times New Roman" w:eastAsia="仿宋_GB2312" w:cs="Times New Roman"/>
          <w:color w:val="000000"/>
          <w:lang w:eastAsia="zh-CN"/>
        </w:rPr>
        <w:t>为调整预算的</w:t>
      </w:r>
      <w:r>
        <w:rPr>
          <w:rFonts w:hint="eastAsia" w:ascii="仿宋_GB2312" w:hAnsi="Times New Roman" w:eastAsia="仿宋_GB2312" w:cs="Times New Roman"/>
          <w:color w:val="000000"/>
          <w:lang w:val="en-US" w:eastAsia="zh-CN"/>
        </w:rPr>
        <w:t>100%，</w:t>
      </w:r>
      <w:r>
        <w:rPr>
          <w:rFonts w:hint="default" w:ascii="仿宋_GB2312" w:hAnsi="Times New Roman" w:eastAsia="仿宋_GB2312" w:cs="Times New Roman"/>
          <w:color w:val="000000"/>
        </w:rPr>
        <w:t>同比</w:t>
      </w:r>
      <w:r>
        <w:rPr>
          <w:rFonts w:hint="eastAsia" w:ascii="仿宋_GB2312" w:hAnsi="Times New Roman" w:eastAsia="仿宋_GB2312" w:cs="Times New Roman"/>
          <w:color w:val="000000"/>
          <w:lang w:eastAsia="zh-CN"/>
        </w:rPr>
        <w:t>增长</w:t>
      </w:r>
      <w:r>
        <w:rPr>
          <w:rFonts w:hint="eastAsia" w:ascii="仿宋_GB2312" w:hAnsi="Times New Roman" w:eastAsia="仿宋_GB2312" w:cs="Times New Roman"/>
          <w:color w:val="000000"/>
          <w:lang w:val="en-US" w:eastAsia="zh-CN"/>
        </w:rPr>
        <w:t>24.6</w:t>
      </w:r>
      <w:r>
        <w:rPr>
          <w:rFonts w:hint="default" w:ascii="仿宋_GB2312" w:hAnsi="Times New Roman" w:eastAsia="仿宋_GB2312" w:cs="Times New Roman"/>
          <w:color w:val="000000"/>
        </w:rPr>
        <w:t>%</w:t>
      </w:r>
      <w:r>
        <w:rPr>
          <w:rFonts w:hint="eastAsia" w:ascii="仿宋_GB2312" w:hAnsi="Times New Roman" w:eastAsia="仿宋_GB2312" w:cs="Times New Roman"/>
          <w:color w:val="000000"/>
          <w:lang w:val="en-US" w:eastAsia="zh-CN"/>
        </w:rPr>
        <w:t>。</w:t>
      </w:r>
      <w:r>
        <w:rPr>
          <w:rFonts w:hint="eastAsia" w:ascii="仿宋_GB2312" w:hAnsi="Times New Roman" w:eastAsia="仿宋_GB2312" w:cs="Times New Roman"/>
          <w:color w:val="000000"/>
          <w:lang w:eastAsia="zh-CN"/>
        </w:rPr>
        <w:t>主要是当年本溪市高级中学附属学校债券支出较大。</w:t>
      </w:r>
    </w:p>
    <w:p>
      <w:pPr>
        <w:adjustRightInd w:val="0"/>
        <w:snapToGrid w:val="0"/>
        <w:spacing w:line="600" w:lineRule="exact"/>
        <w:jc w:val="center"/>
        <w:rPr>
          <w:rFonts w:eastAsia="黑体"/>
          <w:color w:val="000000"/>
          <w:sz w:val="28"/>
          <w:szCs w:val="28"/>
        </w:rPr>
      </w:pPr>
      <w:r>
        <w:rPr>
          <w:rFonts w:hint="default" w:ascii="Times New Roman" w:hAnsi="Times New Roman" w:eastAsia="仿宋_GB2312" w:cs="Times New Roman"/>
          <w:color w:val="000000"/>
          <w:sz w:val="28"/>
          <w:szCs w:val="28"/>
          <w:highlight w:val="none"/>
        </w:rPr>
        <w:t>20</w:t>
      </w:r>
      <w:r>
        <w:rPr>
          <w:rFonts w:hint="eastAsia" w:ascii="Times New Roman" w:hAnsi="Times New Roman" w:eastAsia="仿宋_GB2312" w:cs="Times New Roman"/>
          <w:color w:val="000000"/>
          <w:sz w:val="28"/>
          <w:szCs w:val="28"/>
          <w:highlight w:val="none"/>
          <w:lang w:val="en-US" w:eastAsia="zh-CN"/>
        </w:rPr>
        <w:t>21</w:t>
      </w:r>
      <w:r>
        <w:rPr>
          <w:rFonts w:eastAsia="黑体"/>
          <w:color w:val="000000"/>
          <w:sz w:val="28"/>
          <w:szCs w:val="28"/>
        </w:rPr>
        <w:t>年全</w:t>
      </w:r>
      <w:r>
        <w:rPr>
          <w:rFonts w:hint="eastAsia" w:eastAsia="黑体"/>
          <w:color w:val="000000"/>
          <w:sz w:val="28"/>
          <w:szCs w:val="28"/>
        </w:rPr>
        <w:t>区</w:t>
      </w:r>
      <w:r>
        <w:rPr>
          <w:rFonts w:eastAsia="黑体"/>
          <w:color w:val="000000"/>
          <w:sz w:val="28"/>
          <w:szCs w:val="28"/>
        </w:rPr>
        <w:t>一般公共预算主要</w:t>
      </w:r>
      <w:r>
        <w:rPr>
          <w:rFonts w:hint="eastAsia" w:eastAsia="黑体"/>
          <w:color w:val="000000"/>
          <w:sz w:val="28"/>
          <w:szCs w:val="28"/>
          <w:lang w:eastAsia="zh-CN"/>
        </w:rPr>
        <w:t>支出</w:t>
      </w:r>
      <w:r>
        <w:rPr>
          <w:rFonts w:eastAsia="黑体"/>
          <w:color w:val="000000"/>
          <w:sz w:val="28"/>
          <w:szCs w:val="28"/>
        </w:rPr>
        <w:t>项目</w:t>
      </w:r>
      <w:r>
        <w:rPr>
          <w:rFonts w:hint="eastAsia" w:eastAsia="黑体"/>
          <w:color w:val="000000"/>
          <w:sz w:val="28"/>
          <w:szCs w:val="28"/>
          <w:lang w:eastAsia="zh-CN"/>
        </w:rPr>
        <w:t>预计</w:t>
      </w:r>
      <w:r>
        <w:rPr>
          <w:rFonts w:eastAsia="黑体"/>
          <w:color w:val="000000"/>
          <w:sz w:val="28"/>
          <w:szCs w:val="28"/>
        </w:rPr>
        <w:t>完成情况表</w:t>
      </w:r>
    </w:p>
    <w:p>
      <w:pPr>
        <w:adjustRightInd w:val="0"/>
        <w:snapToGrid w:val="0"/>
        <w:jc w:val="center"/>
        <w:rPr>
          <w:color w:val="000000"/>
          <w:sz w:val="18"/>
          <w:szCs w:val="18"/>
        </w:rPr>
      </w:pPr>
      <w:r>
        <w:rPr>
          <w:rFonts w:eastAsia="黑体"/>
          <w:color w:val="000000"/>
          <w:sz w:val="18"/>
          <w:szCs w:val="18"/>
        </w:rPr>
        <w:t xml:space="preserve">                                                                                  </w:t>
      </w:r>
      <w:r>
        <w:rPr>
          <w:color w:val="000000"/>
          <w:sz w:val="18"/>
          <w:szCs w:val="18"/>
        </w:rPr>
        <w:t xml:space="preserve">        单位：万元</w:t>
      </w:r>
    </w:p>
    <w:tbl>
      <w:tblPr>
        <w:tblStyle w:val="10"/>
        <w:tblpPr w:leftFromText="180" w:rightFromText="180" w:vertAnchor="text" w:horzAnchor="page" w:tblpX="1636" w:tblpY="50"/>
        <w:tblOverlap w:val="never"/>
        <w:tblW w:w="0" w:type="auto"/>
        <w:tblInd w:w="0" w:type="dxa"/>
        <w:tblLayout w:type="fixed"/>
        <w:tblCellMar>
          <w:top w:w="15" w:type="dxa"/>
          <w:left w:w="15" w:type="dxa"/>
          <w:bottom w:w="15" w:type="dxa"/>
          <w:right w:w="15" w:type="dxa"/>
        </w:tblCellMar>
      </w:tblPr>
      <w:tblGrid>
        <w:gridCol w:w="2411"/>
        <w:gridCol w:w="763"/>
        <w:gridCol w:w="1023"/>
        <w:gridCol w:w="805"/>
        <w:gridCol w:w="3947"/>
      </w:tblGrid>
      <w:tr>
        <w:tblPrEx>
          <w:tblCellMar>
            <w:top w:w="15" w:type="dxa"/>
            <w:left w:w="15" w:type="dxa"/>
            <w:bottom w:w="15" w:type="dxa"/>
            <w:right w:w="15" w:type="dxa"/>
          </w:tblCellMar>
        </w:tblPrEx>
        <w:trPr>
          <w:wBefore w:w="0" w:type="dxa"/>
          <w:wAfter w:w="0" w:type="dxa"/>
          <w:trHeight w:val="387" w:hRule="exact"/>
        </w:trPr>
        <w:tc>
          <w:tcPr>
            <w:tcW w:w="241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eastAsia="黑体"/>
                <w:color w:val="000000"/>
                <w:sz w:val="24"/>
                <w:szCs w:val="24"/>
              </w:rPr>
            </w:pPr>
            <w:r>
              <w:rPr>
                <w:rFonts w:eastAsia="黑体"/>
                <w:color w:val="000000"/>
                <w:sz w:val="24"/>
                <w:szCs w:val="24"/>
              </w:rPr>
              <w:t>科目</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eastAsia="黑体"/>
                <w:color w:val="000000"/>
                <w:sz w:val="24"/>
                <w:szCs w:val="24"/>
              </w:rPr>
            </w:pPr>
            <w:r>
              <w:rPr>
                <w:rFonts w:eastAsia="黑体"/>
                <w:color w:val="000000"/>
                <w:sz w:val="24"/>
                <w:szCs w:val="24"/>
              </w:rPr>
              <w:t>完成额</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eastAsia="黑体"/>
                <w:color w:val="000000"/>
                <w:sz w:val="24"/>
                <w:szCs w:val="24"/>
                <w:lang w:eastAsia="zh-CN"/>
              </w:rPr>
            </w:pPr>
            <w:r>
              <w:rPr>
                <w:rFonts w:hint="eastAsia" w:eastAsia="黑体"/>
                <w:color w:val="000000"/>
                <w:sz w:val="24"/>
                <w:szCs w:val="24"/>
                <w:lang w:eastAsia="zh-CN"/>
              </w:rPr>
              <w:t>上年同期</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eastAsia="黑体"/>
                <w:color w:val="000000"/>
                <w:sz w:val="24"/>
                <w:szCs w:val="24"/>
              </w:rPr>
            </w:pPr>
            <w:r>
              <w:rPr>
                <w:rFonts w:eastAsia="黑体"/>
                <w:color w:val="000000"/>
                <w:sz w:val="24"/>
                <w:szCs w:val="24"/>
              </w:rPr>
              <w:t>增减%</w:t>
            </w:r>
          </w:p>
        </w:tc>
        <w:tc>
          <w:tcPr>
            <w:tcW w:w="394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eastAsia="黑体"/>
                <w:color w:val="000000"/>
                <w:sz w:val="24"/>
                <w:szCs w:val="24"/>
              </w:rPr>
            </w:pPr>
            <w:r>
              <w:rPr>
                <w:rFonts w:eastAsia="黑体"/>
                <w:color w:val="000000"/>
                <w:sz w:val="24"/>
                <w:szCs w:val="24"/>
              </w:rPr>
              <w:t>影响增减的主要因素</w:t>
            </w:r>
          </w:p>
        </w:tc>
      </w:tr>
      <w:tr>
        <w:tblPrEx>
          <w:tblCellMar>
            <w:top w:w="15" w:type="dxa"/>
            <w:left w:w="15" w:type="dxa"/>
            <w:bottom w:w="15" w:type="dxa"/>
            <w:right w:w="15" w:type="dxa"/>
          </w:tblCellMar>
        </w:tblPrEx>
        <w:trPr>
          <w:wBefore w:w="0" w:type="dxa"/>
          <w:wAfter w:w="0" w:type="dxa"/>
          <w:trHeight w:val="477" w:hRule="exact"/>
        </w:trPr>
        <w:tc>
          <w:tcPr>
            <w:tcW w:w="241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eastAsia="宋体"/>
                <w:color w:val="000000"/>
                <w:kern w:val="0"/>
                <w:sz w:val="21"/>
                <w:szCs w:val="21"/>
                <w:lang w:eastAsia="zh-CN" w:bidi="ar"/>
              </w:rPr>
            </w:pPr>
            <w:r>
              <w:rPr>
                <w:rFonts w:hint="eastAsia"/>
                <w:color w:val="000000"/>
                <w:kern w:val="0"/>
                <w:sz w:val="21"/>
                <w:szCs w:val="21"/>
                <w:lang w:eastAsia="zh-CN" w:bidi="ar"/>
              </w:rPr>
              <w:t>一般公共服务支出</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eastAsia="宋体"/>
                <w:color w:val="000000"/>
                <w:kern w:val="0"/>
                <w:sz w:val="21"/>
                <w:szCs w:val="21"/>
                <w:lang w:val="en-US" w:eastAsia="zh-CN" w:bidi="ar"/>
              </w:rPr>
            </w:pPr>
            <w:r>
              <w:rPr>
                <w:rFonts w:hint="eastAsia" w:eastAsia="宋体"/>
                <w:color w:val="000000"/>
                <w:kern w:val="0"/>
                <w:sz w:val="21"/>
                <w:szCs w:val="21"/>
                <w:lang w:val="en-US" w:eastAsia="zh-CN" w:bidi="ar"/>
              </w:rPr>
              <w:t>13772</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357"/>
              </w:tabs>
              <w:adjustRightInd w:val="0"/>
              <w:snapToGrid w:val="0"/>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12481</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eastAsia="宋体"/>
                <w:color w:val="000000"/>
                <w:kern w:val="0"/>
                <w:sz w:val="21"/>
                <w:szCs w:val="21"/>
                <w:lang w:val="en-US" w:eastAsia="zh-CN" w:bidi="ar"/>
              </w:rPr>
            </w:pPr>
            <w:r>
              <w:rPr>
                <w:rFonts w:hint="eastAsia" w:eastAsia="宋体"/>
                <w:color w:val="000000"/>
                <w:kern w:val="0"/>
                <w:sz w:val="21"/>
                <w:szCs w:val="21"/>
                <w:lang w:val="en-US" w:eastAsia="zh-CN" w:bidi="ar"/>
              </w:rPr>
              <w:t>10.3</w:t>
            </w:r>
          </w:p>
        </w:tc>
        <w:tc>
          <w:tcPr>
            <w:tcW w:w="394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eastAsia="宋体"/>
                <w:color w:val="000000"/>
                <w:kern w:val="0"/>
                <w:sz w:val="21"/>
                <w:szCs w:val="21"/>
                <w:highlight w:val="green"/>
                <w:lang w:eastAsia="zh-CN" w:bidi="ar"/>
              </w:rPr>
            </w:pPr>
            <w:r>
              <w:rPr>
                <w:rFonts w:hint="eastAsia"/>
                <w:color w:val="000000"/>
                <w:kern w:val="0"/>
                <w:sz w:val="21"/>
                <w:szCs w:val="21"/>
                <w:highlight w:val="none"/>
                <w:lang w:eastAsia="zh-CN" w:bidi="ar"/>
              </w:rPr>
              <w:t>当年取暖费由“暗补”变“明补”</w:t>
            </w:r>
          </w:p>
        </w:tc>
      </w:tr>
      <w:tr>
        <w:tblPrEx>
          <w:tblCellMar>
            <w:top w:w="15" w:type="dxa"/>
            <w:left w:w="15" w:type="dxa"/>
            <w:bottom w:w="15" w:type="dxa"/>
            <w:right w:w="15" w:type="dxa"/>
          </w:tblCellMar>
        </w:tblPrEx>
        <w:trPr>
          <w:wBefore w:w="0" w:type="dxa"/>
          <w:wAfter w:w="0" w:type="dxa"/>
          <w:trHeight w:val="604" w:hRule="exact"/>
        </w:trPr>
        <w:tc>
          <w:tcPr>
            <w:tcW w:w="241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color w:val="000000"/>
                <w:kern w:val="0"/>
                <w:sz w:val="21"/>
                <w:szCs w:val="21"/>
                <w:lang w:eastAsia="zh-CN" w:bidi="ar"/>
              </w:rPr>
            </w:pPr>
            <w:r>
              <w:rPr>
                <w:rFonts w:hint="eastAsia"/>
                <w:color w:val="000000"/>
                <w:kern w:val="0"/>
                <w:sz w:val="21"/>
                <w:szCs w:val="21"/>
                <w:lang w:eastAsia="zh-CN" w:bidi="ar"/>
              </w:rPr>
              <w:t>教育支出</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26387</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11986</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120.1</w:t>
            </w:r>
          </w:p>
        </w:tc>
        <w:tc>
          <w:tcPr>
            <w:tcW w:w="394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default"/>
                <w:color w:val="000000"/>
                <w:kern w:val="0"/>
                <w:sz w:val="21"/>
                <w:szCs w:val="21"/>
                <w:highlight w:val="green"/>
                <w:lang w:val="en-US" w:eastAsia="zh-CN" w:bidi="ar"/>
              </w:rPr>
            </w:pPr>
            <w:r>
              <w:rPr>
                <w:rFonts w:hint="eastAsia"/>
                <w:color w:val="000000"/>
                <w:kern w:val="0"/>
                <w:sz w:val="21"/>
                <w:szCs w:val="21"/>
                <w:highlight w:val="none"/>
                <w:lang w:eastAsia="zh-CN" w:bidi="ar"/>
              </w:rPr>
              <w:t>当年</w:t>
            </w:r>
            <w:r>
              <w:rPr>
                <w:rFonts w:hint="eastAsia"/>
                <w:color w:val="000000"/>
                <w:kern w:val="0"/>
                <w:sz w:val="21"/>
                <w:szCs w:val="21"/>
                <w:highlight w:val="none"/>
                <w:lang w:val="en-US" w:eastAsia="zh-CN" w:bidi="ar"/>
              </w:rPr>
              <w:t>本溪市高级中学附属学校债券资金支出1.5亿元</w:t>
            </w:r>
          </w:p>
        </w:tc>
      </w:tr>
      <w:tr>
        <w:tblPrEx>
          <w:tblCellMar>
            <w:top w:w="15" w:type="dxa"/>
            <w:left w:w="15" w:type="dxa"/>
            <w:bottom w:w="15" w:type="dxa"/>
            <w:right w:w="15" w:type="dxa"/>
          </w:tblCellMar>
        </w:tblPrEx>
        <w:trPr>
          <w:wBefore w:w="0" w:type="dxa"/>
          <w:wAfter w:w="0" w:type="dxa"/>
          <w:trHeight w:val="447" w:hRule="exact"/>
        </w:trPr>
        <w:tc>
          <w:tcPr>
            <w:tcW w:w="241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eastAsia="宋体"/>
                <w:color w:val="000000"/>
                <w:kern w:val="0"/>
                <w:sz w:val="21"/>
                <w:szCs w:val="21"/>
                <w:lang w:eastAsia="zh-CN" w:bidi="ar"/>
              </w:rPr>
            </w:pPr>
            <w:r>
              <w:rPr>
                <w:rFonts w:hint="eastAsia"/>
                <w:color w:val="000000"/>
                <w:kern w:val="0"/>
                <w:sz w:val="21"/>
                <w:szCs w:val="21"/>
                <w:lang w:eastAsia="zh-CN" w:bidi="ar"/>
              </w:rPr>
              <w:t>文化体育与传媒</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eastAsia="宋体"/>
                <w:color w:val="000000"/>
                <w:kern w:val="0"/>
                <w:sz w:val="21"/>
                <w:szCs w:val="21"/>
                <w:lang w:val="en-US" w:eastAsia="zh-CN" w:bidi="ar"/>
              </w:rPr>
            </w:pPr>
            <w:r>
              <w:rPr>
                <w:rFonts w:hint="eastAsia" w:eastAsia="宋体"/>
                <w:color w:val="000000"/>
                <w:kern w:val="0"/>
                <w:sz w:val="21"/>
                <w:szCs w:val="21"/>
                <w:lang w:val="en-US" w:eastAsia="zh-CN" w:bidi="ar"/>
              </w:rPr>
              <w:t>491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769</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eastAsia="宋体"/>
                <w:color w:val="000000"/>
                <w:kern w:val="0"/>
                <w:sz w:val="21"/>
                <w:szCs w:val="21"/>
                <w:lang w:val="en-US" w:eastAsia="zh-CN" w:bidi="ar"/>
              </w:rPr>
            </w:pPr>
            <w:r>
              <w:rPr>
                <w:rFonts w:hint="eastAsia" w:eastAsia="宋体"/>
                <w:color w:val="000000"/>
                <w:kern w:val="0"/>
                <w:sz w:val="21"/>
                <w:szCs w:val="21"/>
                <w:lang w:val="en-US" w:eastAsia="zh-CN" w:bidi="ar"/>
              </w:rPr>
              <w:t>-36.2</w:t>
            </w:r>
          </w:p>
        </w:tc>
        <w:tc>
          <w:tcPr>
            <w:tcW w:w="394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eastAsia="宋体"/>
                <w:color w:val="000000"/>
                <w:kern w:val="0"/>
                <w:sz w:val="21"/>
                <w:szCs w:val="21"/>
                <w:highlight w:val="green"/>
                <w:lang w:eastAsia="zh-CN" w:bidi="ar"/>
              </w:rPr>
            </w:pPr>
            <w:r>
              <w:rPr>
                <w:rFonts w:hint="eastAsia"/>
                <w:color w:val="000000"/>
                <w:kern w:val="0"/>
                <w:sz w:val="21"/>
                <w:szCs w:val="21"/>
                <w:highlight w:val="none"/>
                <w:lang w:eastAsia="zh-CN" w:bidi="ar"/>
              </w:rPr>
              <w:t>上年上级专项支出较大</w:t>
            </w:r>
          </w:p>
        </w:tc>
      </w:tr>
      <w:tr>
        <w:tblPrEx>
          <w:tblCellMar>
            <w:top w:w="15" w:type="dxa"/>
            <w:left w:w="15" w:type="dxa"/>
            <w:bottom w:w="15" w:type="dxa"/>
            <w:right w:w="15" w:type="dxa"/>
          </w:tblCellMar>
        </w:tblPrEx>
        <w:trPr>
          <w:wBefore w:w="0" w:type="dxa"/>
          <w:wAfter w:w="0" w:type="dxa"/>
          <w:trHeight w:val="447" w:hRule="exact"/>
        </w:trPr>
        <w:tc>
          <w:tcPr>
            <w:tcW w:w="241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eastAsia="宋体"/>
                <w:color w:val="000000"/>
                <w:kern w:val="0"/>
                <w:sz w:val="21"/>
                <w:szCs w:val="21"/>
                <w:lang w:eastAsia="zh-CN" w:bidi="ar"/>
              </w:rPr>
            </w:pPr>
            <w:r>
              <w:rPr>
                <w:rFonts w:hint="eastAsia"/>
                <w:color w:val="000000"/>
                <w:kern w:val="0"/>
                <w:sz w:val="21"/>
                <w:szCs w:val="21"/>
                <w:lang w:eastAsia="zh-CN" w:bidi="ar"/>
              </w:rPr>
              <w:t>社会保障和就业</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eastAsia="宋体"/>
                <w:color w:val="000000"/>
                <w:kern w:val="0"/>
                <w:sz w:val="21"/>
                <w:szCs w:val="21"/>
                <w:lang w:val="en-US" w:eastAsia="zh-CN" w:bidi="ar"/>
              </w:rPr>
            </w:pPr>
            <w:r>
              <w:rPr>
                <w:rFonts w:hint="eastAsia" w:eastAsia="宋体"/>
                <w:color w:val="000000"/>
                <w:kern w:val="0"/>
                <w:sz w:val="21"/>
                <w:szCs w:val="21"/>
                <w:lang w:val="en-US" w:eastAsia="zh-CN" w:bidi="ar"/>
              </w:rPr>
              <w:t>15744</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20085</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eastAsia="宋体"/>
                <w:color w:val="000000"/>
                <w:kern w:val="0"/>
                <w:sz w:val="21"/>
                <w:szCs w:val="21"/>
                <w:lang w:val="en-US" w:eastAsia="zh-CN" w:bidi="ar"/>
              </w:rPr>
            </w:pPr>
            <w:r>
              <w:rPr>
                <w:rFonts w:hint="eastAsia" w:eastAsia="宋体"/>
                <w:color w:val="000000"/>
                <w:kern w:val="0"/>
                <w:sz w:val="21"/>
                <w:szCs w:val="21"/>
                <w:lang w:val="en-US" w:eastAsia="zh-CN" w:bidi="ar"/>
              </w:rPr>
              <w:t>-21.6</w:t>
            </w:r>
          </w:p>
        </w:tc>
        <w:tc>
          <w:tcPr>
            <w:tcW w:w="394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eastAsia="宋体"/>
                <w:color w:val="000000"/>
                <w:kern w:val="0"/>
                <w:sz w:val="21"/>
                <w:szCs w:val="21"/>
                <w:highlight w:val="green"/>
                <w:lang w:eastAsia="zh-CN" w:bidi="ar"/>
              </w:rPr>
            </w:pPr>
            <w:r>
              <w:rPr>
                <w:rFonts w:hint="eastAsia"/>
                <w:color w:val="000000"/>
                <w:kern w:val="0"/>
                <w:sz w:val="21"/>
                <w:szCs w:val="21"/>
                <w:highlight w:val="none"/>
                <w:lang w:eastAsia="zh-CN" w:bidi="ar"/>
              </w:rPr>
              <w:t>上年上级专项支出较大</w:t>
            </w:r>
          </w:p>
        </w:tc>
      </w:tr>
      <w:tr>
        <w:tblPrEx>
          <w:tblCellMar>
            <w:top w:w="15" w:type="dxa"/>
            <w:left w:w="15" w:type="dxa"/>
            <w:bottom w:w="15" w:type="dxa"/>
            <w:right w:w="15" w:type="dxa"/>
          </w:tblCellMar>
        </w:tblPrEx>
        <w:trPr>
          <w:wBefore w:w="0" w:type="dxa"/>
          <w:wAfter w:w="0" w:type="dxa"/>
          <w:trHeight w:val="447" w:hRule="exact"/>
        </w:trPr>
        <w:tc>
          <w:tcPr>
            <w:tcW w:w="241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color w:val="000000"/>
                <w:kern w:val="0"/>
                <w:sz w:val="21"/>
                <w:szCs w:val="21"/>
                <w:lang w:bidi="ar"/>
              </w:rPr>
            </w:pPr>
            <w:r>
              <w:rPr>
                <w:rFonts w:hint="eastAsia"/>
                <w:color w:val="000000"/>
                <w:kern w:val="0"/>
                <w:sz w:val="21"/>
                <w:szCs w:val="21"/>
                <w:lang w:eastAsia="zh-CN" w:bidi="ar"/>
              </w:rPr>
              <w:t>卫生健康支出</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eastAsia="宋体"/>
                <w:color w:val="000000"/>
                <w:kern w:val="0"/>
                <w:sz w:val="21"/>
                <w:szCs w:val="21"/>
                <w:lang w:val="en-US" w:eastAsia="zh-CN" w:bidi="ar"/>
              </w:rPr>
            </w:pPr>
            <w:r>
              <w:rPr>
                <w:rFonts w:hint="eastAsia" w:eastAsia="宋体"/>
                <w:color w:val="000000"/>
                <w:kern w:val="0"/>
                <w:sz w:val="21"/>
                <w:szCs w:val="21"/>
                <w:lang w:val="en-US" w:eastAsia="zh-CN" w:bidi="ar"/>
              </w:rPr>
              <w:t>6067</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6504</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eastAsia="宋体"/>
                <w:color w:val="000000"/>
                <w:kern w:val="0"/>
                <w:sz w:val="21"/>
                <w:szCs w:val="21"/>
                <w:lang w:val="en-US" w:eastAsia="zh-CN" w:bidi="ar"/>
              </w:rPr>
            </w:pPr>
            <w:r>
              <w:rPr>
                <w:rFonts w:hint="eastAsia" w:eastAsia="宋体"/>
                <w:color w:val="000000"/>
                <w:kern w:val="0"/>
                <w:sz w:val="21"/>
                <w:szCs w:val="21"/>
                <w:lang w:val="en-US" w:eastAsia="zh-CN" w:bidi="ar"/>
              </w:rPr>
              <w:t>-6.7</w:t>
            </w:r>
          </w:p>
        </w:tc>
        <w:tc>
          <w:tcPr>
            <w:tcW w:w="394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eastAsia="宋体"/>
                <w:color w:val="000000"/>
                <w:kern w:val="0"/>
                <w:sz w:val="21"/>
                <w:szCs w:val="21"/>
                <w:highlight w:val="green"/>
                <w:lang w:eastAsia="zh-CN" w:bidi="ar"/>
              </w:rPr>
            </w:pPr>
            <w:r>
              <w:rPr>
                <w:rFonts w:hint="eastAsia"/>
                <w:color w:val="000000"/>
                <w:kern w:val="0"/>
                <w:sz w:val="21"/>
                <w:szCs w:val="21"/>
                <w:highlight w:val="none"/>
                <w:lang w:eastAsia="zh-CN" w:bidi="ar"/>
              </w:rPr>
              <w:t>上年疫情防控支出较大</w:t>
            </w:r>
          </w:p>
        </w:tc>
      </w:tr>
      <w:tr>
        <w:tblPrEx>
          <w:tblCellMar>
            <w:top w:w="15" w:type="dxa"/>
            <w:left w:w="15" w:type="dxa"/>
            <w:bottom w:w="15" w:type="dxa"/>
            <w:right w:w="15" w:type="dxa"/>
          </w:tblCellMar>
        </w:tblPrEx>
        <w:trPr>
          <w:wBefore w:w="0" w:type="dxa"/>
          <w:wAfter w:w="0" w:type="dxa"/>
          <w:trHeight w:val="447" w:hRule="exact"/>
        </w:trPr>
        <w:tc>
          <w:tcPr>
            <w:tcW w:w="241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color w:val="000000"/>
                <w:kern w:val="0"/>
                <w:sz w:val="21"/>
                <w:szCs w:val="21"/>
                <w:lang w:eastAsia="zh-CN" w:bidi="ar"/>
              </w:rPr>
            </w:pPr>
            <w:r>
              <w:rPr>
                <w:rFonts w:hint="eastAsia"/>
                <w:color w:val="000000"/>
                <w:kern w:val="0"/>
                <w:sz w:val="21"/>
                <w:szCs w:val="21"/>
                <w:lang w:eastAsia="zh-CN" w:bidi="ar"/>
              </w:rPr>
              <w:t>城乡社区支出</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6029</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-6130</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-198.4</w:t>
            </w:r>
          </w:p>
        </w:tc>
        <w:tc>
          <w:tcPr>
            <w:tcW w:w="394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color w:val="000000"/>
                <w:kern w:val="0"/>
                <w:sz w:val="21"/>
                <w:szCs w:val="21"/>
                <w:highlight w:val="green"/>
                <w:lang w:eastAsia="zh-CN" w:bidi="ar"/>
              </w:rPr>
            </w:pPr>
            <w:r>
              <w:rPr>
                <w:rFonts w:hint="eastAsia"/>
                <w:color w:val="000000"/>
                <w:kern w:val="0"/>
                <w:sz w:val="21"/>
                <w:szCs w:val="21"/>
                <w:highlight w:val="none"/>
                <w:lang w:eastAsia="zh-CN" w:bidi="ar"/>
              </w:rPr>
              <w:t>上年防空地下室易地建设费支出较大</w:t>
            </w:r>
          </w:p>
        </w:tc>
      </w:tr>
      <w:tr>
        <w:tblPrEx>
          <w:tblCellMar>
            <w:top w:w="15" w:type="dxa"/>
            <w:left w:w="15" w:type="dxa"/>
            <w:bottom w:w="15" w:type="dxa"/>
            <w:right w:w="15" w:type="dxa"/>
          </w:tblCellMar>
        </w:tblPrEx>
        <w:trPr>
          <w:wBefore w:w="0" w:type="dxa"/>
          <w:wAfter w:w="0" w:type="dxa"/>
          <w:trHeight w:val="551" w:hRule="exact"/>
        </w:trPr>
        <w:tc>
          <w:tcPr>
            <w:tcW w:w="241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color w:val="000000"/>
                <w:kern w:val="0"/>
                <w:sz w:val="21"/>
                <w:szCs w:val="21"/>
                <w:lang w:eastAsia="zh-CN" w:bidi="ar"/>
              </w:rPr>
            </w:pPr>
            <w:r>
              <w:rPr>
                <w:rFonts w:hint="eastAsia"/>
                <w:color w:val="000000"/>
                <w:kern w:val="0"/>
                <w:sz w:val="21"/>
                <w:szCs w:val="21"/>
                <w:lang w:eastAsia="zh-CN" w:bidi="ar"/>
              </w:rPr>
              <w:t>农林水支出</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eastAsia="宋体"/>
                <w:color w:val="000000"/>
                <w:kern w:val="0"/>
                <w:sz w:val="21"/>
                <w:szCs w:val="21"/>
                <w:lang w:val="en-US" w:eastAsia="zh-CN" w:bidi="ar"/>
              </w:rPr>
            </w:pPr>
            <w:r>
              <w:rPr>
                <w:rFonts w:hint="eastAsia" w:eastAsia="宋体"/>
                <w:color w:val="000000"/>
                <w:kern w:val="0"/>
                <w:sz w:val="21"/>
                <w:szCs w:val="21"/>
                <w:lang w:val="en-US" w:eastAsia="zh-CN" w:bidi="ar"/>
              </w:rPr>
              <w:t>3733</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10871</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eastAsia="宋体"/>
                <w:color w:val="000000"/>
                <w:kern w:val="0"/>
                <w:sz w:val="21"/>
                <w:szCs w:val="21"/>
                <w:lang w:val="en-US" w:eastAsia="zh-CN" w:bidi="ar"/>
              </w:rPr>
            </w:pPr>
            <w:r>
              <w:rPr>
                <w:rFonts w:hint="eastAsia" w:eastAsia="宋体"/>
                <w:color w:val="000000"/>
                <w:kern w:val="0"/>
                <w:sz w:val="21"/>
                <w:szCs w:val="21"/>
                <w:lang w:val="en-US" w:eastAsia="zh-CN" w:bidi="ar"/>
              </w:rPr>
              <w:t>-65.7</w:t>
            </w:r>
          </w:p>
        </w:tc>
        <w:tc>
          <w:tcPr>
            <w:tcW w:w="394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color w:val="000000"/>
                <w:kern w:val="0"/>
                <w:sz w:val="21"/>
                <w:szCs w:val="21"/>
                <w:highlight w:val="green"/>
                <w:lang w:val="en-US" w:eastAsia="zh-CN" w:bidi="ar"/>
              </w:rPr>
            </w:pPr>
            <w:r>
              <w:rPr>
                <w:rFonts w:hint="eastAsia"/>
                <w:color w:val="000000"/>
                <w:kern w:val="0"/>
                <w:sz w:val="21"/>
                <w:szCs w:val="21"/>
                <w:highlight w:val="none"/>
                <w:lang w:val="en-US" w:eastAsia="zh-CN" w:bidi="ar"/>
              </w:rPr>
              <w:t>上年区政府通过三农中心注资明泰公司相应支出较大</w:t>
            </w:r>
          </w:p>
        </w:tc>
      </w:tr>
      <w:tr>
        <w:tblPrEx>
          <w:tblCellMar>
            <w:top w:w="15" w:type="dxa"/>
            <w:left w:w="15" w:type="dxa"/>
            <w:bottom w:w="15" w:type="dxa"/>
            <w:right w:w="15" w:type="dxa"/>
          </w:tblCellMar>
        </w:tblPrEx>
        <w:trPr>
          <w:wBefore w:w="0" w:type="dxa"/>
          <w:wAfter w:w="0" w:type="dxa"/>
          <w:trHeight w:val="447" w:hRule="exact"/>
        </w:trPr>
        <w:tc>
          <w:tcPr>
            <w:tcW w:w="241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eastAsia="宋体"/>
                <w:color w:val="000000"/>
                <w:kern w:val="0"/>
                <w:sz w:val="21"/>
                <w:szCs w:val="21"/>
                <w:lang w:eastAsia="zh-CN" w:bidi="ar"/>
              </w:rPr>
            </w:pPr>
            <w:r>
              <w:rPr>
                <w:rFonts w:hint="eastAsia"/>
                <w:color w:val="000000"/>
                <w:kern w:val="0"/>
                <w:sz w:val="21"/>
                <w:szCs w:val="21"/>
                <w:lang w:eastAsia="zh-CN" w:bidi="ar"/>
              </w:rPr>
              <w:t>住房保障支出</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eastAsia="宋体"/>
                <w:color w:val="000000"/>
                <w:kern w:val="0"/>
                <w:sz w:val="21"/>
                <w:szCs w:val="21"/>
                <w:lang w:val="en-US" w:eastAsia="zh-CN" w:bidi="ar"/>
              </w:rPr>
            </w:pPr>
            <w:r>
              <w:rPr>
                <w:rFonts w:hint="eastAsia" w:eastAsia="宋体"/>
                <w:color w:val="000000"/>
                <w:kern w:val="0"/>
                <w:sz w:val="21"/>
                <w:szCs w:val="21"/>
                <w:lang w:val="en-US" w:eastAsia="zh-CN" w:bidi="ar"/>
              </w:rPr>
              <w:t>11207</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10345</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eastAsia="宋体"/>
                <w:color w:val="000000"/>
                <w:kern w:val="0"/>
                <w:sz w:val="21"/>
                <w:szCs w:val="21"/>
                <w:lang w:val="en-US" w:eastAsia="zh-CN" w:bidi="ar"/>
              </w:rPr>
            </w:pPr>
            <w:r>
              <w:rPr>
                <w:rFonts w:hint="eastAsia" w:eastAsia="宋体"/>
                <w:color w:val="000000"/>
                <w:kern w:val="0"/>
                <w:sz w:val="21"/>
                <w:szCs w:val="21"/>
                <w:lang w:val="en-US" w:eastAsia="zh-CN" w:bidi="ar"/>
              </w:rPr>
              <w:t>8.3</w:t>
            </w:r>
          </w:p>
        </w:tc>
        <w:tc>
          <w:tcPr>
            <w:tcW w:w="394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default" w:eastAsia="宋体"/>
                <w:color w:val="000000"/>
                <w:kern w:val="0"/>
                <w:sz w:val="21"/>
                <w:szCs w:val="21"/>
                <w:highlight w:val="green"/>
                <w:lang w:val="en-US" w:eastAsia="zh-CN" w:bidi="ar"/>
              </w:rPr>
            </w:pPr>
            <w:r>
              <w:rPr>
                <w:rFonts w:hint="eastAsia" w:eastAsia="宋体"/>
                <w:color w:val="000000"/>
                <w:kern w:val="0"/>
                <w:sz w:val="21"/>
                <w:szCs w:val="21"/>
                <w:highlight w:val="none"/>
                <w:lang w:eastAsia="zh-CN" w:bidi="ar"/>
              </w:rPr>
              <w:t>当年公积金缴费比例由</w:t>
            </w:r>
            <w:r>
              <w:rPr>
                <w:rFonts w:hint="eastAsia" w:eastAsia="宋体"/>
                <w:color w:val="000000"/>
                <w:kern w:val="0"/>
                <w:sz w:val="21"/>
                <w:szCs w:val="21"/>
                <w:highlight w:val="none"/>
                <w:lang w:val="en-US" w:eastAsia="zh-CN" w:bidi="ar"/>
              </w:rPr>
              <w:t>10%调整为12%</w:t>
            </w:r>
          </w:p>
        </w:tc>
      </w:tr>
    </w:tbl>
    <w:p>
      <w:pPr>
        <w:adjustRightInd w:val="0"/>
        <w:snapToGrid w:val="0"/>
        <w:jc w:val="center"/>
        <w:rPr>
          <w:color w:val="000000"/>
          <w:sz w:val="18"/>
          <w:szCs w:val="18"/>
        </w:rPr>
      </w:pPr>
    </w:p>
    <w:p>
      <w:pPr>
        <w:spacing w:line="560" w:lineRule="exact"/>
        <w:ind w:firstLine="632" w:firstLineChars="200"/>
        <w:rPr>
          <w:rFonts w:ascii="Times New Roman" w:hAnsi="Times New Roman" w:eastAsia="仿宋_GB2312" w:cs="Times New Roman"/>
          <w:b/>
          <w:color w:val="000000"/>
        </w:rPr>
      </w:pPr>
      <w:r>
        <w:rPr>
          <w:rFonts w:ascii="Times New Roman" w:hAnsi="Times New Roman" w:eastAsia="仿宋_GB2312" w:cs="Times New Roman"/>
          <w:b/>
          <w:color w:val="000000"/>
        </w:rPr>
        <w:t>3.收支平衡情况</w:t>
      </w:r>
    </w:p>
    <w:p>
      <w:pPr>
        <w:ind w:firstLine="632" w:firstLineChars="200"/>
        <w:rPr>
          <w:rFonts w:hint="default" w:ascii="仿宋_GB2312" w:hAnsi="Times New Roman" w:eastAsia="仿宋_GB2312" w:cs="Times New Roman"/>
          <w:color w:val="000000"/>
        </w:rPr>
      </w:pPr>
      <w:r>
        <w:rPr>
          <w:rFonts w:hint="default" w:ascii="仿宋_GB2312" w:hAnsi="Times New Roman" w:eastAsia="仿宋_GB2312" w:cs="Times New Roman"/>
          <w:color w:val="000000"/>
        </w:rPr>
        <w:t>20</w:t>
      </w:r>
      <w:r>
        <w:rPr>
          <w:rFonts w:hint="eastAsia" w:ascii="仿宋_GB2312" w:hAnsi="Times New Roman" w:eastAsia="仿宋_GB2312" w:cs="Times New Roman"/>
          <w:color w:val="000000"/>
          <w:lang w:val="en-US" w:eastAsia="zh-CN"/>
        </w:rPr>
        <w:t>21</w:t>
      </w:r>
      <w:r>
        <w:rPr>
          <w:rFonts w:hint="default" w:ascii="仿宋_GB2312" w:hAnsi="Times New Roman" w:eastAsia="仿宋_GB2312" w:cs="Times New Roman"/>
          <w:color w:val="000000"/>
        </w:rPr>
        <w:t>年，全</w:t>
      </w:r>
      <w:r>
        <w:rPr>
          <w:rFonts w:hint="eastAsia" w:ascii="仿宋_GB2312" w:hAnsi="Times New Roman" w:eastAsia="仿宋_GB2312" w:cs="Times New Roman"/>
          <w:color w:val="000000"/>
        </w:rPr>
        <w:t>区</w:t>
      </w:r>
      <w:r>
        <w:rPr>
          <w:rFonts w:hint="default" w:ascii="仿宋_GB2312" w:hAnsi="Times New Roman" w:eastAsia="仿宋_GB2312" w:cs="Times New Roman"/>
          <w:color w:val="000000"/>
        </w:rPr>
        <w:t>一般公共预算收入</w:t>
      </w:r>
      <w:r>
        <w:rPr>
          <w:rFonts w:hint="eastAsia" w:ascii="仿宋_GB2312" w:hAnsi="Times New Roman" w:eastAsia="仿宋_GB2312" w:cs="Times New Roman"/>
          <w:color w:val="000000"/>
          <w:lang w:eastAsia="zh-CN"/>
        </w:rPr>
        <w:t>预计</w:t>
      </w:r>
      <w:r>
        <w:rPr>
          <w:rFonts w:hint="eastAsia" w:ascii="仿宋_GB2312" w:hAnsi="Times New Roman" w:eastAsia="仿宋_GB2312" w:cs="Times New Roman"/>
          <w:color w:val="000000"/>
          <w:lang w:val="en-US" w:eastAsia="zh-CN"/>
        </w:rPr>
        <w:t>63049</w:t>
      </w:r>
      <w:r>
        <w:rPr>
          <w:rFonts w:hint="default" w:ascii="仿宋_GB2312" w:hAnsi="Times New Roman" w:eastAsia="仿宋_GB2312" w:cs="Times New Roman"/>
          <w:color w:val="000000"/>
        </w:rPr>
        <w:t>万元，</w:t>
      </w:r>
      <w:r>
        <w:rPr>
          <w:rFonts w:hint="eastAsia" w:eastAsia="仿宋_GB2312" w:cs="Times New Roman"/>
          <w:kern w:val="0"/>
          <w:sz w:val="32"/>
          <w:szCs w:val="32"/>
          <w:highlight w:val="none"/>
          <w:lang w:val="en-US" w:eastAsia="zh-CN"/>
        </w:rPr>
        <w:t>上级财政各项补助收入预计为34932万元，争取本溪市高级中学附属学校一般债券15000万元，</w:t>
      </w:r>
      <w:r>
        <w:rPr>
          <w:rFonts w:hint="eastAsia" w:ascii="仿宋_GB2312" w:hAnsi="Times New Roman" w:eastAsia="仿宋_GB2312" w:cs="Times New Roman"/>
          <w:color w:val="000000"/>
          <w:lang w:val="en-US" w:eastAsia="zh-CN"/>
        </w:rPr>
        <w:t>动用预算稳定调节基金2597万元，调入资金13028万元，债务转贷收入2925万元，收入总计131531万元。</w:t>
      </w:r>
      <w:r>
        <w:rPr>
          <w:rFonts w:hint="default" w:ascii="仿宋_GB2312" w:hAnsi="Times New Roman" w:eastAsia="仿宋_GB2312" w:cs="Times New Roman"/>
          <w:color w:val="000000"/>
        </w:rPr>
        <w:t>一般公共预算支出</w:t>
      </w:r>
      <w:r>
        <w:rPr>
          <w:rFonts w:hint="eastAsia" w:ascii="仿宋_GB2312" w:hAnsi="Times New Roman" w:eastAsia="仿宋_GB2312" w:cs="Times New Roman"/>
          <w:color w:val="000000"/>
          <w:lang w:eastAsia="zh-CN"/>
        </w:rPr>
        <w:t>预计</w:t>
      </w:r>
      <w:r>
        <w:rPr>
          <w:rFonts w:hint="default" w:ascii="仿宋_GB2312" w:hAnsi="Times New Roman" w:eastAsia="仿宋_GB2312" w:cs="Times New Roman"/>
          <w:color w:val="000000"/>
        </w:rPr>
        <w:t>完成</w:t>
      </w:r>
      <w:r>
        <w:rPr>
          <w:rFonts w:hint="eastAsia" w:ascii="仿宋_GB2312" w:hAnsi="Times New Roman" w:eastAsia="仿宋_GB2312" w:cs="Times New Roman"/>
          <w:color w:val="000000"/>
          <w:lang w:val="en-US" w:eastAsia="zh-CN"/>
        </w:rPr>
        <w:t>87500</w:t>
      </w:r>
      <w:r>
        <w:rPr>
          <w:rFonts w:hint="default" w:ascii="仿宋_GB2312" w:hAnsi="Times New Roman" w:eastAsia="仿宋_GB2312" w:cs="Times New Roman"/>
          <w:color w:val="000000"/>
        </w:rPr>
        <w:t>万元，</w:t>
      </w:r>
      <w:r>
        <w:rPr>
          <w:rFonts w:hint="eastAsia" w:ascii="仿宋_GB2312" w:hAnsi="Times New Roman" w:eastAsia="仿宋_GB2312" w:cs="Times New Roman"/>
          <w:color w:val="000000"/>
          <w:lang w:eastAsia="zh-CN"/>
        </w:rPr>
        <w:t>上解上级财政支出</w:t>
      </w:r>
      <w:r>
        <w:rPr>
          <w:rFonts w:hint="eastAsia" w:ascii="仿宋_GB2312" w:hAnsi="Times New Roman" w:eastAsia="仿宋_GB2312" w:cs="Times New Roman"/>
          <w:color w:val="000000"/>
          <w:lang w:val="en-US" w:eastAsia="zh-CN"/>
        </w:rPr>
        <w:t>41106万元，债务还本支出2925万元，支出总计131531万元，</w:t>
      </w:r>
      <w:r>
        <w:rPr>
          <w:rFonts w:hint="default" w:ascii="仿宋_GB2312" w:hAnsi="Times New Roman" w:eastAsia="仿宋_GB2312" w:cs="Times New Roman"/>
          <w:color w:val="000000"/>
        </w:rPr>
        <w:t>实现收支平衡。</w:t>
      </w:r>
    </w:p>
    <w:p>
      <w:pPr>
        <w:adjustRightInd w:val="0"/>
        <w:snapToGrid w:val="0"/>
        <w:jc w:val="center"/>
        <w:rPr>
          <w:rFonts w:eastAsia="黑体"/>
          <w:color w:val="000000"/>
          <w:sz w:val="28"/>
          <w:szCs w:val="28"/>
        </w:rPr>
      </w:pPr>
      <w:r>
        <w:rPr>
          <w:rFonts w:eastAsia="黑体"/>
          <w:color w:val="000000"/>
          <w:sz w:val="28"/>
          <w:szCs w:val="28"/>
        </w:rPr>
        <w:t>20</w:t>
      </w:r>
      <w:r>
        <w:rPr>
          <w:rFonts w:hint="eastAsia" w:eastAsia="黑体"/>
          <w:color w:val="000000"/>
          <w:sz w:val="28"/>
          <w:szCs w:val="28"/>
          <w:lang w:val="en-US" w:eastAsia="zh-CN"/>
        </w:rPr>
        <w:t>21</w:t>
      </w:r>
      <w:r>
        <w:rPr>
          <w:rFonts w:eastAsia="黑体"/>
          <w:color w:val="000000"/>
          <w:sz w:val="28"/>
          <w:szCs w:val="28"/>
        </w:rPr>
        <w:t>年全</w:t>
      </w:r>
      <w:r>
        <w:rPr>
          <w:rFonts w:hint="eastAsia" w:eastAsia="黑体"/>
          <w:color w:val="000000"/>
          <w:sz w:val="28"/>
          <w:szCs w:val="28"/>
        </w:rPr>
        <w:t>区</w:t>
      </w:r>
      <w:r>
        <w:rPr>
          <w:rFonts w:eastAsia="黑体"/>
          <w:color w:val="000000"/>
          <w:sz w:val="28"/>
          <w:szCs w:val="28"/>
        </w:rPr>
        <w:t>一般公共预算收支平衡情况表</w:t>
      </w:r>
    </w:p>
    <w:p>
      <w:pPr>
        <w:adjustRightInd w:val="0"/>
        <w:snapToGrid w:val="0"/>
        <w:ind w:firstLine="352" w:firstLineChars="200"/>
        <w:rPr>
          <w:rFonts w:eastAsia="仿宋_GB2312"/>
          <w:color w:val="0000FF"/>
        </w:rPr>
      </w:pPr>
      <w:r>
        <w:rPr>
          <w:rFonts w:eastAsia="黑体"/>
          <w:color w:val="000000"/>
          <w:sz w:val="18"/>
          <w:szCs w:val="18"/>
        </w:rPr>
        <w:t xml:space="preserve">                                                                            </w:t>
      </w:r>
      <w:r>
        <w:rPr>
          <w:color w:val="000000"/>
          <w:sz w:val="18"/>
          <w:szCs w:val="18"/>
        </w:rPr>
        <w:t xml:space="preserve">        单位：万元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260"/>
        <w:gridCol w:w="2976"/>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40" w:hRule="exact"/>
          <w:jc w:val="center"/>
        </w:trPr>
        <w:tc>
          <w:tcPr>
            <w:tcW w:w="2988" w:type="dxa"/>
            <w:noWrap w:val="0"/>
            <w:vAlign w:val="top"/>
          </w:tcPr>
          <w:p>
            <w:pPr>
              <w:adjustRightInd w:val="0"/>
              <w:snapToGrid w:val="0"/>
              <w:jc w:val="center"/>
              <w:rPr>
                <w:rFonts w:eastAsia="黑体"/>
                <w:color w:val="000000"/>
                <w:sz w:val="24"/>
                <w:szCs w:val="24"/>
              </w:rPr>
            </w:pPr>
            <w:r>
              <w:rPr>
                <w:rFonts w:eastAsia="黑体"/>
                <w:color w:val="000000"/>
                <w:sz w:val="24"/>
                <w:szCs w:val="24"/>
              </w:rPr>
              <w:t>收入</w:t>
            </w:r>
          </w:p>
        </w:tc>
        <w:tc>
          <w:tcPr>
            <w:tcW w:w="1260" w:type="dxa"/>
            <w:noWrap w:val="0"/>
            <w:vAlign w:val="top"/>
          </w:tcPr>
          <w:p>
            <w:pPr>
              <w:adjustRightInd w:val="0"/>
              <w:snapToGrid w:val="0"/>
              <w:jc w:val="center"/>
              <w:rPr>
                <w:rFonts w:eastAsia="黑体"/>
                <w:color w:val="000000"/>
                <w:sz w:val="24"/>
                <w:szCs w:val="24"/>
              </w:rPr>
            </w:pPr>
            <w:r>
              <w:rPr>
                <w:rFonts w:eastAsia="黑体"/>
                <w:color w:val="000000"/>
                <w:sz w:val="24"/>
                <w:szCs w:val="24"/>
              </w:rPr>
              <w:t>数额</w:t>
            </w:r>
          </w:p>
        </w:tc>
        <w:tc>
          <w:tcPr>
            <w:tcW w:w="2976" w:type="dxa"/>
            <w:noWrap w:val="0"/>
            <w:vAlign w:val="top"/>
          </w:tcPr>
          <w:p>
            <w:pPr>
              <w:adjustRightInd w:val="0"/>
              <w:snapToGrid w:val="0"/>
              <w:jc w:val="center"/>
              <w:rPr>
                <w:rFonts w:eastAsia="黑体"/>
                <w:color w:val="000000"/>
                <w:sz w:val="24"/>
                <w:szCs w:val="24"/>
              </w:rPr>
            </w:pPr>
            <w:r>
              <w:rPr>
                <w:rFonts w:eastAsia="黑体"/>
                <w:color w:val="000000"/>
                <w:sz w:val="24"/>
                <w:szCs w:val="24"/>
              </w:rPr>
              <w:t>支出</w:t>
            </w:r>
          </w:p>
        </w:tc>
        <w:tc>
          <w:tcPr>
            <w:tcW w:w="1452" w:type="dxa"/>
            <w:noWrap w:val="0"/>
            <w:vAlign w:val="top"/>
          </w:tcPr>
          <w:p>
            <w:pPr>
              <w:adjustRightInd w:val="0"/>
              <w:snapToGrid w:val="0"/>
              <w:jc w:val="center"/>
              <w:rPr>
                <w:rFonts w:eastAsia="黑体"/>
                <w:color w:val="000000"/>
                <w:sz w:val="24"/>
                <w:szCs w:val="24"/>
              </w:rPr>
            </w:pPr>
            <w:r>
              <w:rPr>
                <w:rFonts w:eastAsia="黑体"/>
                <w:color w:val="000000"/>
                <w:sz w:val="24"/>
                <w:szCs w:val="24"/>
              </w:rPr>
              <w:t>数额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40" w:hRule="exact"/>
          <w:jc w:val="center"/>
        </w:trPr>
        <w:tc>
          <w:tcPr>
            <w:tcW w:w="2988" w:type="dxa"/>
            <w:noWrap w:val="0"/>
            <w:vAlign w:val="top"/>
          </w:tcPr>
          <w:p>
            <w:pPr>
              <w:adjustRightInd w:val="0"/>
              <w:snapToGrid w:val="0"/>
              <w:jc w:val="left"/>
              <w:rPr>
                <w:rFonts w:hint="eastAsia" w:eastAsia="宋体"/>
                <w:color w:val="000000"/>
                <w:sz w:val="24"/>
                <w:szCs w:val="24"/>
                <w:lang w:eastAsia="zh-CN"/>
              </w:rPr>
            </w:pPr>
            <w:r>
              <w:rPr>
                <w:rFonts w:hint="eastAsia"/>
                <w:color w:val="000000"/>
                <w:sz w:val="24"/>
                <w:szCs w:val="24"/>
                <w:lang w:eastAsia="zh-CN"/>
              </w:rPr>
              <w:t>一般公共预算收入</w:t>
            </w:r>
          </w:p>
        </w:tc>
        <w:tc>
          <w:tcPr>
            <w:tcW w:w="1260" w:type="dxa"/>
            <w:noWrap w:val="0"/>
            <w:vAlign w:val="top"/>
          </w:tcPr>
          <w:p>
            <w:pPr>
              <w:adjustRightInd w:val="0"/>
              <w:snapToGrid w:val="0"/>
              <w:jc w:val="center"/>
              <w:rPr>
                <w:rFonts w:hint="default" w:eastAsia="宋体"/>
                <w:color w:val="000000"/>
                <w:sz w:val="24"/>
                <w:szCs w:val="24"/>
                <w:lang w:val="en-US" w:eastAsia="zh-CN"/>
              </w:rPr>
            </w:pPr>
            <w:r>
              <w:rPr>
                <w:rFonts w:hint="eastAsia" w:eastAsia="宋体"/>
                <w:color w:val="000000"/>
                <w:sz w:val="24"/>
                <w:szCs w:val="24"/>
                <w:lang w:val="en-US" w:eastAsia="zh-CN"/>
              </w:rPr>
              <w:t>63049</w:t>
            </w:r>
          </w:p>
        </w:tc>
        <w:tc>
          <w:tcPr>
            <w:tcW w:w="2976" w:type="dxa"/>
            <w:noWrap w:val="0"/>
            <w:vAlign w:val="top"/>
          </w:tcPr>
          <w:p>
            <w:pPr>
              <w:adjustRightInd w:val="0"/>
              <w:snapToGrid w:val="0"/>
              <w:jc w:val="left"/>
              <w:rPr>
                <w:rFonts w:hint="eastAsia" w:eastAsia="宋体"/>
                <w:color w:val="000000"/>
                <w:sz w:val="24"/>
                <w:szCs w:val="24"/>
                <w:lang w:eastAsia="zh-CN"/>
              </w:rPr>
            </w:pPr>
            <w:r>
              <w:rPr>
                <w:rFonts w:hint="eastAsia"/>
                <w:color w:val="000000"/>
                <w:sz w:val="24"/>
                <w:szCs w:val="24"/>
                <w:lang w:eastAsia="zh-CN"/>
              </w:rPr>
              <w:t>一般公共预算支出</w:t>
            </w:r>
          </w:p>
        </w:tc>
        <w:tc>
          <w:tcPr>
            <w:tcW w:w="1452" w:type="dxa"/>
            <w:noWrap w:val="0"/>
            <w:vAlign w:val="top"/>
          </w:tcPr>
          <w:p>
            <w:pPr>
              <w:adjustRightInd w:val="0"/>
              <w:snapToGrid w:val="0"/>
              <w:jc w:val="center"/>
              <w:rPr>
                <w:rFonts w:hint="default" w:eastAsia="宋体"/>
                <w:color w:val="000000"/>
                <w:sz w:val="24"/>
                <w:szCs w:val="24"/>
                <w:lang w:val="en-US" w:eastAsia="zh-CN"/>
              </w:rPr>
            </w:pPr>
            <w:r>
              <w:rPr>
                <w:rFonts w:hint="eastAsia" w:eastAsia="宋体"/>
                <w:color w:val="000000"/>
                <w:sz w:val="24"/>
                <w:szCs w:val="24"/>
                <w:lang w:val="en-US" w:eastAsia="zh-CN"/>
              </w:rPr>
              <w:t>87500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40" w:hRule="exact"/>
          <w:jc w:val="center"/>
        </w:trPr>
        <w:tc>
          <w:tcPr>
            <w:tcW w:w="2988" w:type="dxa"/>
            <w:noWrap w:val="0"/>
            <w:vAlign w:val="top"/>
          </w:tcPr>
          <w:p>
            <w:pPr>
              <w:adjustRightInd w:val="0"/>
              <w:snapToGrid w:val="0"/>
              <w:jc w:val="left"/>
              <w:rPr>
                <w:rFonts w:hint="eastAsia" w:eastAsia="宋体"/>
                <w:color w:val="000000"/>
                <w:sz w:val="24"/>
                <w:szCs w:val="24"/>
                <w:lang w:eastAsia="zh-CN"/>
              </w:rPr>
            </w:pPr>
            <w:r>
              <w:rPr>
                <w:rFonts w:hint="eastAsia"/>
                <w:color w:val="000000"/>
                <w:sz w:val="24"/>
                <w:szCs w:val="24"/>
                <w:lang w:eastAsia="zh-CN"/>
              </w:rPr>
              <w:t>上级财政各项补助收入</w:t>
            </w:r>
          </w:p>
        </w:tc>
        <w:tc>
          <w:tcPr>
            <w:tcW w:w="1260" w:type="dxa"/>
            <w:noWrap w:val="0"/>
            <w:vAlign w:val="top"/>
          </w:tcPr>
          <w:p>
            <w:pPr>
              <w:adjustRightInd w:val="0"/>
              <w:snapToGrid w:val="0"/>
              <w:ind w:firstLine="236" w:firstLineChars="100"/>
              <w:jc w:val="both"/>
              <w:rPr>
                <w:rFonts w:hint="default" w:eastAsia="宋体"/>
                <w:color w:val="000000"/>
                <w:sz w:val="24"/>
                <w:szCs w:val="24"/>
                <w:lang w:val="en-US" w:eastAsia="zh-CN"/>
              </w:rPr>
            </w:pPr>
            <w:r>
              <w:rPr>
                <w:rFonts w:hint="eastAsia" w:eastAsia="宋体"/>
                <w:color w:val="000000"/>
                <w:sz w:val="24"/>
                <w:szCs w:val="24"/>
                <w:lang w:val="en-US" w:eastAsia="zh-CN"/>
              </w:rPr>
              <w:t>34932</w:t>
            </w:r>
          </w:p>
        </w:tc>
        <w:tc>
          <w:tcPr>
            <w:tcW w:w="2976" w:type="dxa"/>
            <w:noWrap w:val="0"/>
            <w:vAlign w:val="top"/>
          </w:tcPr>
          <w:p>
            <w:pPr>
              <w:adjustRightInd w:val="0"/>
              <w:snapToGrid w:val="0"/>
              <w:jc w:val="left"/>
              <w:rPr>
                <w:rFonts w:hint="eastAsia" w:eastAsia="宋体"/>
                <w:color w:val="000000"/>
                <w:sz w:val="24"/>
                <w:szCs w:val="24"/>
                <w:lang w:eastAsia="zh-CN"/>
              </w:rPr>
            </w:pPr>
            <w:r>
              <w:rPr>
                <w:rFonts w:hint="eastAsia"/>
                <w:color w:val="000000"/>
                <w:sz w:val="24"/>
                <w:szCs w:val="24"/>
                <w:lang w:eastAsia="zh-CN"/>
              </w:rPr>
              <w:t>上解上级财政支出</w:t>
            </w:r>
          </w:p>
        </w:tc>
        <w:tc>
          <w:tcPr>
            <w:tcW w:w="1452" w:type="dxa"/>
            <w:noWrap w:val="0"/>
            <w:vAlign w:val="top"/>
          </w:tcPr>
          <w:p>
            <w:pPr>
              <w:adjustRightInd w:val="0"/>
              <w:snapToGrid w:val="0"/>
              <w:jc w:val="center"/>
              <w:rPr>
                <w:rFonts w:hint="default" w:eastAsia="宋体"/>
                <w:color w:val="000000"/>
                <w:sz w:val="24"/>
                <w:szCs w:val="24"/>
                <w:lang w:val="en-US" w:eastAsia="zh-CN"/>
              </w:rPr>
            </w:pPr>
            <w:r>
              <w:rPr>
                <w:rFonts w:hint="eastAsia" w:eastAsia="宋体"/>
                <w:color w:val="000000"/>
                <w:sz w:val="24"/>
                <w:szCs w:val="24"/>
                <w:lang w:val="en-US" w:eastAsia="zh-CN"/>
              </w:rPr>
              <w:t>41106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35" w:hRule="exact"/>
          <w:jc w:val="center"/>
        </w:trPr>
        <w:tc>
          <w:tcPr>
            <w:tcW w:w="2988" w:type="dxa"/>
            <w:noWrap w:val="0"/>
            <w:vAlign w:val="top"/>
          </w:tcPr>
          <w:p>
            <w:pPr>
              <w:adjustRightInd w:val="0"/>
              <w:snapToGrid w:val="0"/>
              <w:jc w:val="both"/>
              <w:rPr>
                <w:rFonts w:hint="eastAsia"/>
                <w:color w:val="000000"/>
                <w:sz w:val="24"/>
                <w:szCs w:val="24"/>
                <w:lang w:val="en-US" w:eastAsia="zh-CN"/>
              </w:rPr>
            </w:pPr>
            <w:r>
              <w:rPr>
                <w:rFonts w:hint="eastAsia"/>
                <w:color w:val="000000"/>
                <w:sz w:val="24"/>
                <w:szCs w:val="24"/>
                <w:lang w:val="en-US" w:eastAsia="zh-CN"/>
              </w:rPr>
              <w:t>动用预算稳定调节基金</w:t>
            </w:r>
          </w:p>
        </w:tc>
        <w:tc>
          <w:tcPr>
            <w:tcW w:w="1260" w:type="dxa"/>
            <w:noWrap w:val="0"/>
            <w:vAlign w:val="top"/>
          </w:tcPr>
          <w:p>
            <w:pPr>
              <w:adjustRightInd w:val="0"/>
              <w:snapToGrid w:val="0"/>
              <w:jc w:val="center"/>
              <w:rPr>
                <w:rFonts w:hint="default"/>
                <w:color w:val="000000"/>
                <w:sz w:val="24"/>
                <w:szCs w:val="24"/>
                <w:lang w:val="en-US" w:eastAsia="zh-CN"/>
              </w:rPr>
            </w:pPr>
            <w:r>
              <w:rPr>
                <w:rFonts w:hint="eastAsia"/>
                <w:color w:val="000000"/>
                <w:sz w:val="24"/>
                <w:szCs w:val="24"/>
                <w:lang w:val="en-US" w:eastAsia="zh-CN"/>
              </w:rPr>
              <w:t>2597</w:t>
            </w:r>
          </w:p>
        </w:tc>
        <w:tc>
          <w:tcPr>
            <w:tcW w:w="2976" w:type="dxa"/>
            <w:noWrap w:val="0"/>
            <w:vAlign w:val="top"/>
          </w:tcPr>
          <w:p>
            <w:pPr>
              <w:adjustRightInd w:val="0"/>
              <w:snapToGrid w:val="0"/>
              <w:jc w:val="both"/>
              <w:rPr>
                <w:rFonts w:hint="eastAsia" w:eastAsia="黑体"/>
                <w:color w:val="000000"/>
                <w:sz w:val="24"/>
                <w:szCs w:val="24"/>
                <w:lang w:eastAsia="zh-CN"/>
              </w:rPr>
            </w:pPr>
          </w:p>
        </w:tc>
        <w:tc>
          <w:tcPr>
            <w:tcW w:w="1452" w:type="dxa"/>
            <w:noWrap w:val="0"/>
            <w:vAlign w:val="top"/>
          </w:tcPr>
          <w:p>
            <w:pPr>
              <w:adjustRightInd w:val="0"/>
              <w:snapToGrid w:val="0"/>
              <w:jc w:val="center"/>
              <w:rPr>
                <w:rFonts w:hint="eastAsia"/>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35" w:hRule="exact"/>
          <w:jc w:val="center"/>
        </w:trPr>
        <w:tc>
          <w:tcPr>
            <w:tcW w:w="2988" w:type="dxa"/>
            <w:noWrap w:val="0"/>
            <w:vAlign w:val="top"/>
          </w:tcPr>
          <w:p>
            <w:pPr>
              <w:adjustRightInd w:val="0"/>
              <w:snapToGrid w:val="0"/>
              <w:jc w:val="both"/>
              <w:rPr>
                <w:rFonts w:hint="eastAsia"/>
                <w:color w:val="000000"/>
                <w:sz w:val="24"/>
                <w:szCs w:val="24"/>
                <w:lang w:val="en-US" w:eastAsia="zh-CN"/>
              </w:rPr>
            </w:pPr>
            <w:r>
              <w:rPr>
                <w:rFonts w:hint="eastAsia"/>
                <w:color w:val="000000"/>
                <w:sz w:val="24"/>
                <w:szCs w:val="24"/>
                <w:lang w:val="en-US" w:eastAsia="zh-CN"/>
              </w:rPr>
              <w:t>调入资金</w:t>
            </w:r>
          </w:p>
        </w:tc>
        <w:tc>
          <w:tcPr>
            <w:tcW w:w="1260" w:type="dxa"/>
            <w:noWrap w:val="0"/>
            <w:vAlign w:val="top"/>
          </w:tcPr>
          <w:p>
            <w:pPr>
              <w:adjustRightInd w:val="0"/>
              <w:snapToGrid w:val="0"/>
              <w:jc w:val="center"/>
              <w:rPr>
                <w:rFonts w:hint="default"/>
                <w:color w:val="000000"/>
                <w:sz w:val="24"/>
                <w:szCs w:val="24"/>
                <w:lang w:val="en-US" w:eastAsia="zh-CN"/>
              </w:rPr>
            </w:pPr>
            <w:r>
              <w:rPr>
                <w:rFonts w:hint="eastAsia"/>
                <w:color w:val="000000"/>
                <w:sz w:val="24"/>
                <w:szCs w:val="24"/>
                <w:lang w:val="en-US" w:eastAsia="zh-CN"/>
              </w:rPr>
              <w:t>13028</w:t>
            </w:r>
          </w:p>
        </w:tc>
        <w:tc>
          <w:tcPr>
            <w:tcW w:w="2976" w:type="dxa"/>
            <w:noWrap w:val="0"/>
            <w:vAlign w:val="top"/>
          </w:tcPr>
          <w:p>
            <w:pPr>
              <w:adjustRightInd w:val="0"/>
              <w:snapToGrid w:val="0"/>
              <w:jc w:val="both"/>
              <w:rPr>
                <w:rFonts w:hint="eastAsia" w:eastAsia="黑体"/>
                <w:color w:val="000000"/>
                <w:sz w:val="24"/>
                <w:szCs w:val="24"/>
                <w:lang w:eastAsia="zh-CN"/>
              </w:rPr>
            </w:pPr>
          </w:p>
        </w:tc>
        <w:tc>
          <w:tcPr>
            <w:tcW w:w="1452" w:type="dxa"/>
            <w:noWrap w:val="0"/>
            <w:vAlign w:val="top"/>
          </w:tcPr>
          <w:p>
            <w:pPr>
              <w:adjustRightInd w:val="0"/>
              <w:snapToGrid w:val="0"/>
              <w:jc w:val="center"/>
              <w:rPr>
                <w:rFonts w:hint="eastAsia"/>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35" w:hRule="exact"/>
          <w:jc w:val="center"/>
        </w:trPr>
        <w:tc>
          <w:tcPr>
            <w:tcW w:w="2988" w:type="dxa"/>
            <w:noWrap w:val="0"/>
            <w:vAlign w:val="top"/>
          </w:tcPr>
          <w:p>
            <w:pPr>
              <w:adjustRightInd w:val="0"/>
              <w:snapToGrid w:val="0"/>
              <w:jc w:val="both"/>
              <w:rPr>
                <w:rFonts w:hint="eastAsia"/>
                <w:color w:val="000000"/>
                <w:sz w:val="24"/>
                <w:szCs w:val="24"/>
                <w:lang w:val="en-US" w:eastAsia="zh-CN"/>
              </w:rPr>
            </w:pPr>
            <w:r>
              <w:rPr>
                <w:rFonts w:hint="eastAsia"/>
                <w:color w:val="000000"/>
                <w:sz w:val="24"/>
                <w:szCs w:val="24"/>
                <w:lang w:val="en-US" w:eastAsia="zh-CN"/>
              </w:rPr>
              <w:t>新增一般债券收入</w:t>
            </w:r>
          </w:p>
        </w:tc>
        <w:tc>
          <w:tcPr>
            <w:tcW w:w="1260" w:type="dxa"/>
            <w:noWrap w:val="0"/>
            <w:vAlign w:val="top"/>
          </w:tcPr>
          <w:p>
            <w:pPr>
              <w:adjustRightInd w:val="0"/>
              <w:snapToGrid w:val="0"/>
              <w:jc w:val="center"/>
              <w:rPr>
                <w:rFonts w:hint="default"/>
                <w:color w:val="000000"/>
                <w:sz w:val="24"/>
                <w:szCs w:val="24"/>
                <w:lang w:val="en-US" w:eastAsia="zh-CN"/>
              </w:rPr>
            </w:pPr>
            <w:r>
              <w:rPr>
                <w:rFonts w:hint="eastAsia"/>
                <w:color w:val="000000"/>
                <w:sz w:val="24"/>
                <w:szCs w:val="24"/>
                <w:lang w:val="en-US" w:eastAsia="zh-CN"/>
              </w:rPr>
              <w:t>15000</w:t>
            </w:r>
          </w:p>
        </w:tc>
        <w:tc>
          <w:tcPr>
            <w:tcW w:w="2976" w:type="dxa"/>
            <w:noWrap w:val="0"/>
            <w:vAlign w:val="top"/>
          </w:tcPr>
          <w:p>
            <w:pPr>
              <w:adjustRightInd w:val="0"/>
              <w:snapToGrid w:val="0"/>
              <w:jc w:val="both"/>
              <w:rPr>
                <w:rFonts w:hint="eastAsia" w:eastAsia="黑体"/>
                <w:color w:val="000000"/>
                <w:sz w:val="24"/>
                <w:szCs w:val="24"/>
                <w:lang w:eastAsia="zh-CN"/>
              </w:rPr>
            </w:pPr>
          </w:p>
        </w:tc>
        <w:tc>
          <w:tcPr>
            <w:tcW w:w="1452" w:type="dxa"/>
            <w:noWrap w:val="0"/>
            <w:vAlign w:val="top"/>
          </w:tcPr>
          <w:p>
            <w:pPr>
              <w:adjustRightInd w:val="0"/>
              <w:snapToGrid w:val="0"/>
              <w:jc w:val="center"/>
              <w:rPr>
                <w:rFonts w:hint="eastAsia"/>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35" w:hRule="exact"/>
          <w:jc w:val="center"/>
        </w:trPr>
        <w:tc>
          <w:tcPr>
            <w:tcW w:w="2988" w:type="dxa"/>
            <w:noWrap w:val="0"/>
            <w:vAlign w:val="top"/>
          </w:tcPr>
          <w:p>
            <w:pPr>
              <w:adjustRightInd w:val="0"/>
              <w:snapToGrid w:val="0"/>
              <w:jc w:val="both"/>
              <w:rPr>
                <w:rFonts w:hint="eastAsia"/>
                <w:color w:val="000000"/>
                <w:sz w:val="24"/>
                <w:szCs w:val="24"/>
                <w:lang w:val="en-US" w:eastAsia="zh-CN"/>
              </w:rPr>
            </w:pPr>
            <w:r>
              <w:rPr>
                <w:rFonts w:hint="eastAsia"/>
                <w:color w:val="000000"/>
                <w:sz w:val="24"/>
                <w:szCs w:val="24"/>
                <w:lang w:val="en-US" w:eastAsia="zh-CN"/>
              </w:rPr>
              <w:t>债务转贷收入</w:t>
            </w:r>
          </w:p>
        </w:tc>
        <w:tc>
          <w:tcPr>
            <w:tcW w:w="1260" w:type="dxa"/>
            <w:noWrap w:val="0"/>
            <w:vAlign w:val="top"/>
          </w:tcPr>
          <w:p>
            <w:pPr>
              <w:adjustRightInd w:val="0"/>
              <w:snapToGrid w:val="0"/>
              <w:jc w:val="center"/>
              <w:rPr>
                <w:rFonts w:hint="default"/>
                <w:color w:val="000000"/>
                <w:sz w:val="24"/>
                <w:szCs w:val="24"/>
                <w:lang w:val="en-US" w:eastAsia="zh-CN"/>
              </w:rPr>
            </w:pPr>
            <w:r>
              <w:rPr>
                <w:rFonts w:hint="eastAsia"/>
                <w:color w:val="000000"/>
                <w:sz w:val="24"/>
                <w:szCs w:val="24"/>
                <w:lang w:val="en-US" w:eastAsia="zh-CN"/>
              </w:rPr>
              <w:t>2925</w:t>
            </w:r>
          </w:p>
        </w:tc>
        <w:tc>
          <w:tcPr>
            <w:tcW w:w="2976" w:type="dxa"/>
            <w:noWrap w:val="0"/>
            <w:vAlign w:val="top"/>
          </w:tcPr>
          <w:p>
            <w:pPr>
              <w:adjustRightInd w:val="0"/>
              <w:snapToGrid w:val="0"/>
              <w:jc w:val="both"/>
              <w:rPr>
                <w:rFonts w:hint="eastAsia" w:eastAsia="黑体"/>
                <w:color w:val="000000"/>
                <w:sz w:val="24"/>
                <w:szCs w:val="24"/>
                <w:lang w:eastAsia="zh-CN"/>
              </w:rPr>
            </w:pPr>
            <w:r>
              <w:rPr>
                <w:rFonts w:hint="eastAsia" w:eastAsia="黑体"/>
                <w:color w:val="000000"/>
                <w:sz w:val="24"/>
                <w:szCs w:val="24"/>
                <w:lang w:eastAsia="zh-CN"/>
              </w:rPr>
              <w:t>债务还本支出</w:t>
            </w:r>
          </w:p>
        </w:tc>
        <w:tc>
          <w:tcPr>
            <w:tcW w:w="1452" w:type="dxa"/>
            <w:noWrap w:val="0"/>
            <w:vAlign w:val="top"/>
          </w:tcPr>
          <w:p>
            <w:pPr>
              <w:adjustRightInd w:val="0"/>
              <w:snapToGrid w:val="0"/>
              <w:jc w:val="center"/>
              <w:rPr>
                <w:rFonts w:hint="default"/>
                <w:color w:val="000000"/>
                <w:sz w:val="24"/>
                <w:szCs w:val="24"/>
                <w:lang w:val="en-US" w:eastAsia="zh-CN"/>
              </w:rPr>
            </w:pPr>
            <w:r>
              <w:rPr>
                <w:rFonts w:hint="eastAsia"/>
                <w:color w:val="000000"/>
                <w:sz w:val="24"/>
                <w:szCs w:val="24"/>
                <w:lang w:val="en-US" w:eastAsia="zh-CN"/>
              </w:rPr>
              <w:t>2925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40" w:hRule="exact"/>
          <w:jc w:val="center"/>
        </w:trPr>
        <w:tc>
          <w:tcPr>
            <w:tcW w:w="2988" w:type="dxa"/>
            <w:noWrap w:val="0"/>
            <w:vAlign w:val="top"/>
          </w:tcPr>
          <w:p>
            <w:pPr>
              <w:adjustRightInd w:val="0"/>
              <w:snapToGrid w:val="0"/>
              <w:jc w:val="center"/>
              <w:rPr>
                <w:b/>
                <w:bCs/>
                <w:color w:val="000000"/>
                <w:sz w:val="24"/>
                <w:szCs w:val="24"/>
              </w:rPr>
            </w:pPr>
            <w:r>
              <w:rPr>
                <w:b/>
                <w:bCs/>
                <w:color w:val="000000"/>
                <w:sz w:val="24"/>
                <w:szCs w:val="24"/>
              </w:rPr>
              <w:t>收入总计</w:t>
            </w:r>
          </w:p>
        </w:tc>
        <w:tc>
          <w:tcPr>
            <w:tcW w:w="1260" w:type="dxa"/>
            <w:noWrap w:val="0"/>
            <w:vAlign w:val="top"/>
          </w:tcPr>
          <w:p>
            <w:pPr>
              <w:adjustRightInd w:val="0"/>
              <w:snapToGrid w:val="0"/>
              <w:jc w:val="center"/>
              <w:rPr>
                <w:rFonts w:hint="default" w:eastAsia="宋体"/>
                <w:b/>
                <w:bCs/>
                <w:color w:val="000000"/>
                <w:sz w:val="24"/>
                <w:szCs w:val="24"/>
                <w:lang w:val="en-US" w:eastAsia="zh-CN"/>
              </w:rPr>
            </w:pPr>
            <w:r>
              <w:rPr>
                <w:rFonts w:hint="eastAsia" w:eastAsia="宋体"/>
                <w:b/>
                <w:bCs/>
                <w:color w:val="000000"/>
                <w:sz w:val="24"/>
                <w:szCs w:val="24"/>
                <w:lang w:val="en-US" w:eastAsia="zh-CN"/>
              </w:rPr>
              <w:t>131531</w:t>
            </w:r>
          </w:p>
        </w:tc>
        <w:tc>
          <w:tcPr>
            <w:tcW w:w="2976" w:type="dxa"/>
            <w:noWrap w:val="0"/>
            <w:vAlign w:val="top"/>
          </w:tcPr>
          <w:p>
            <w:pPr>
              <w:adjustRightInd w:val="0"/>
              <w:snapToGrid w:val="0"/>
              <w:jc w:val="center"/>
              <w:rPr>
                <w:b/>
                <w:bCs/>
                <w:color w:val="000000"/>
                <w:sz w:val="24"/>
                <w:szCs w:val="24"/>
              </w:rPr>
            </w:pPr>
            <w:r>
              <w:rPr>
                <w:b/>
                <w:bCs/>
                <w:color w:val="000000"/>
                <w:sz w:val="24"/>
                <w:szCs w:val="24"/>
              </w:rPr>
              <w:t>支出总计</w:t>
            </w:r>
          </w:p>
        </w:tc>
        <w:tc>
          <w:tcPr>
            <w:tcW w:w="1452" w:type="dxa"/>
            <w:noWrap w:val="0"/>
            <w:vAlign w:val="top"/>
          </w:tcPr>
          <w:p>
            <w:pPr>
              <w:adjustRightInd w:val="0"/>
              <w:snapToGrid w:val="0"/>
              <w:jc w:val="center"/>
              <w:rPr>
                <w:rFonts w:hint="default" w:eastAsia="宋体"/>
                <w:b/>
                <w:bCs/>
                <w:color w:val="000000"/>
                <w:sz w:val="24"/>
                <w:szCs w:val="24"/>
                <w:lang w:val="en-US" w:eastAsia="zh-CN"/>
              </w:rPr>
            </w:pPr>
            <w:r>
              <w:rPr>
                <w:rFonts w:hint="eastAsia" w:eastAsia="宋体"/>
                <w:b/>
                <w:bCs/>
                <w:color w:val="000000"/>
                <w:sz w:val="24"/>
                <w:szCs w:val="24"/>
                <w:lang w:val="en-US" w:eastAsia="zh-CN"/>
              </w:rPr>
              <w:t>131531</w:t>
            </w:r>
          </w:p>
        </w:tc>
      </w:tr>
    </w:tbl>
    <w:p>
      <w:pPr>
        <w:adjustRightInd w:val="0"/>
        <w:snapToGrid w:val="0"/>
        <w:ind w:firstLine="412" w:firstLineChars="200"/>
        <w:jc w:val="right"/>
        <w:rPr>
          <w:color w:val="000000"/>
          <w:sz w:val="21"/>
          <w:szCs w:val="21"/>
        </w:rPr>
      </w:pPr>
    </w:p>
    <w:p>
      <w:pPr>
        <w:spacing w:line="560" w:lineRule="exact"/>
        <w:ind w:firstLine="632" w:firstLineChars="200"/>
        <w:rPr>
          <w:rFonts w:hint="eastAsia" w:ascii="Times New Roman" w:hAnsi="Times New Roman" w:eastAsia="仿宋_GB2312" w:cs="Times New Roman"/>
          <w:b/>
          <w:color w:val="000000"/>
        </w:rPr>
      </w:pPr>
      <w:r>
        <w:rPr>
          <w:rFonts w:hint="eastAsia" w:ascii="Times New Roman" w:hAnsi="Times New Roman" w:eastAsia="仿宋_GB2312" w:cs="Times New Roman"/>
          <w:b/>
          <w:color w:val="000000"/>
        </w:rPr>
        <w:t>（二）政府性基金预算执行情况</w:t>
      </w:r>
    </w:p>
    <w:p>
      <w:pPr>
        <w:adjustRightInd w:val="0"/>
        <w:snapToGrid w:val="0"/>
        <w:spacing w:line="600" w:lineRule="exact"/>
        <w:ind w:firstLine="632" w:firstLineChars="200"/>
        <w:rPr>
          <w:rFonts w:eastAsia="仿宋_GB2312"/>
          <w:b/>
          <w:bCs/>
          <w:color w:val="000000"/>
        </w:rPr>
      </w:pPr>
      <w:r>
        <w:rPr>
          <w:rFonts w:eastAsia="仿宋_GB2312"/>
          <w:b/>
          <w:bCs/>
          <w:color w:val="000000"/>
        </w:rPr>
        <w:t>1.政府性基金收支情况</w:t>
      </w:r>
    </w:p>
    <w:p>
      <w:pPr>
        <w:ind w:firstLine="632" w:firstLineChars="200"/>
        <w:rPr>
          <w:rFonts w:hint="eastAsia" w:ascii="仿宋_GB2312" w:hAnsi="Times New Roman" w:eastAsia="仿宋_GB2312" w:cs="Times New Roman"/>
          <w:color w:val="000000"/>
          <w:highlight w:val="none"/>
          <w:lang w:eastAsia="zh-CN"/>
        </w:rPr>
      </w:pPr>
      <w:r>
        <w:rPr>
          <w:rFonts w:hint="default" w:ascii="仿宋_GB2312" w:hAnsi="Times New Roman" w:eastAsia="仿宋_GB2312" w:cs="Times New Roman"/>
          <w:color w:val="000000"/>
          <w:lang w:eastAsia="zh-CN"/>
        </w:rPr>
        <w:t>20</w:t>
      </w:r>
      <w:r>
        <w:rPr>
          <w:rFonts w:hint="eastAsia" w:ascii="仿宋_GB2312" w:hAnsi="Times New Roman" w:eastAsia="仿宋_GB2312" w:cs="Times New Roman"/>
          <w:color w:val="000000"/>
          <w:lang w:val="en-US" w:eastAsia="zh-CN"/>
        </w:rPr>
        <w:t>21</w:t>
      </w:r>
      <w:r>
        <w:rPr>
          <w:rFonts w:hint="eastAsia" w:ascii="仿宋_GB2312" w:hAnsi="Times New Roman" w:eastAsia="仿宋_GB2312" w:cs="Times New Roman"/>
          <w:color w:val="000000"/>
          <w:lang w:eastAsia="zh-CN"/>
        </w:rPr>
        <w:t>年，全区政府性基金收入预计完成</w:t>
      </w:r>
      <w:r>
        <w:rPr>
          <w:rFonts w:hint="eastAsia" w:ascii="仿宋_GB2312" w:hAnsi="Times New Roman" w:eastAsia="仿宋_GB2312" w:cs="Times New Roman"/>
          <w:color w:val="000000"/>
          <w:lang w:val="en-US" w:eastAsia="zh-CN"/>
        </w:rPr>
        <w:t>12976</w:t>
      </w:r>
      <w:r>
        <w:rPr>
          <w:rFonts w:hint="eastAsia" w:ascii="仿宋_GB2312" w:hAnsi="Times New Roman" w:eastAsia="仿宋_GB2312" w:cs="Times New Roman"/>
          <w:color w:val="000000"/>
          <w:lang w:eastAsia="zh-CN"/>
        </w:rPr>
        <w:t>万元，为调整预算的</w:t>
      </w:r>
      <w:r>
        <w:rPr>
          <w:rFonts w:hint="eastAsia" w:ascii="仿宋_GB2312" w:hAnsi="Times New Roman" w:eastAsia="仿宋_GB2312" w:cs="Times New Roman"/>
          <w:color w:val="000000"/>
          <w:lang w:val="en-US" w:eastAsia="zh-CN"/>
        </w:rPr>
        <w:t>100%，</w:t>
      </w:r>
      <w:r>
        <w:rPr>
          <w:rFonts w:hint="eastAsia" w:ascii="仿宋_GB2312" w:hAnsi="Times New Roman" w:eastAsia="仿宋_GB2312" w:cs="Times New Roman"/>
          <w:color w:val="000000"/>
          <w:lang w:eastAsia="zh-CN"/>
        </w:rPr>
        <w:t>同比增长</w:t>
      </w:r>
      <w:r>
        <w:rPr>
          <w:rFonts w:hint="eastAsia" w:ascii="仿宋_GB2312" w:hAnsi="Times New Roman" w:eastAsia="仿宋_GB2312" w:cs="Times New Roman"/>
          <w:color w:val="000000"/>
          <w:lang w:val="en-US" w:eastAsia="zh-CN"/>
        </w:rPr>
        <w:t>64.6</w:t>
      </w:r>
      <w:r>
        <w:rPr>
          <w:rFonts w:hint="eastAsia" w:ascii="仿宋_GB2312" w:hAnsi="Times New Roman" w:eastAsia="仿宋_GB2312" w:cs="Times New Roman"/>
          <w:color w:val="000000"/>
          <w:lang w:eastAsia="zh-CN"/>
        </w:rPr>
        <w:t>%，主要是当年山上街以及江南城等地块出让收入较大。全区政府性基金支出预计完成</w:t>
      </w:r>
      <w:r>
        <w:rPr>
          <w:rFonts w:hint="eastAsia" w:ascii="仿宋_GB2312" w:hAnsi="Times New Roman" w:eastAsia="仿宋_GB2312" w:cs="Times New Roman"/>
          <w:color w:val="000000"/>
          <w:lang w:val="en-US" w:eastAsia="zh-CN"/>
        </w:rPr>
        <w:t>13806</w:t>
      </w:r>
      <w:r>
        <w:rPr>
          <w:rFonts w:hint="eastAsia" w:ascii="仿宋_GB2312" w:hAnsi="Times New Roman" w:eastAsia="仿宋_GB2312" w:cs="Times New Roman"/>
          <w:color w:val="000000"/>
          <w:lang w:eastAsia="zh-CN"/>
        </w:rPr>
        <w:t>万元，为调整预算的</w:t>
      </w:r>
      <w:r>
        <w:rPr>
          <w:rFonts w:hint="eastAsia" w:ascii="仿宋_GB2312" w:hAnsi="Times New Roman" w:eastAsia="仿宋_GB2312" w:cs="Times New Roman"/>
          <w:color w:val="000000"/>
          <w:lang w:val="en-US" w:eastAsia="zh-CN"/>
        </w:rPr>
        <w:t>100%，</w:t>
      </w:r>
      <w:r>
        <w:rPr>
          <w:rFonts w:hint="eastAsia" w:ascii="仿宋_GB2312" w:hAnsi="Times New Roman" w:eastAsia="仿宋_GB2312" w:cs="Times New Roman"/>
          <w:color w:val="000000"/>
          <w:lang w:eastAsia="zh-CN"/>
        </w:rPr>
        <w:t>同比下降</w:t>
      </w:r>
      <w:r>
        <w:rPr>
          <w:rFonts w:hint="eastAsia" w:ascii="仿宋_GB2312" w:hAnsi="Times New Roman" w:eastAsia="仿宋_GB2312" w:cs="Times New Roman"/>
          <w:color w:val="000000"/>
          <w:lang w:val="en-US" w:eastAsia="zh-CN"/>
        </w:rPr>
        <w:t>20.2</w:t>
      </w:r>
      <w:r>
        <w:rPr>
          <w:rFonts w:hint="eastAsia" w:ascii="仿宋_GB2312" w:hAnsi="Times New Roman" w:eastAsia="仿宋_GB2312" w:cs="Times New Roman"/>
          <w:color w:val="000000"/>
          <w:lang w:eastAsia="zh-CN"/>
        </w:rPr>
        <w:t>%，</w:t>
      </w:r>
      <w:r>
        <w:rPr>
          <w:rFonts w:hint="eastAsia" w:ascii="仿宋_GB2312" w:hAnsi="Times New Roman" w:eastAsia="仿宋_GB2312" w:cs="Times New Roman"/>
          <w:color w:val="000000"/>
          <w:highlight w:val="none"/>
          <w:lang w:eastAsia="zh-CN"/>
        </w:rPr>
        <w:t>主要是上年抗疫特别国债支出数额较大。</w:t>
      </w:r>
    </w:p>
    <w:p>
      <w:pPr>
        <w:adjustRightInd w:val="0"/>
        <w:snapToGrid w:val="0"/>
        <w:spacing w:line="600" w:lineRule="exact"/>
        <w:ind w:firstLine="632" w:firstLineChars="200"/>
        <w:rPr>
          <w:rFonts w:eastAsia="仿宋_GB2312"/>
          <w:b/>
          <w:bCs/>
          <w:color w:val="000000"/>
        </w:rPr>
      </w:pPr>
      <w:r>
        <w:rPr>
          <w:rFonts w:hint="eastAsia" w:eastAsia="仿宋_GB2312"/>
          <w:b/>
          <w:bCs/>
          <w:color w:val="000000"/>
          <w:lang w:val="en-US" w:eastAsia="zh-CN"/>
        </w:rPr>
        <w:t>2</w:t>
      </w:r>
      <w:r>
        <w:rPr>
          <w:rFonts w:eastAsia="仿宋_GB2312"/>
          <w:b/>
          <w:bCs/>
          <w:color w:val="000000"/>
        </w:rPr>
        <w:t>.政府性基金收支</w:t>
      </w:r>
      <w:r>
        <w:rPr>
          <w:rFonts w:hint="eastAsia" w:eastAsia="仿宋_GB2312"/>
          <w:b/>
          <w:bCs/>
          <w:color w:val="000000"/>
          <w:lang w:eastAsia="zh-CN"/>
        </w:rPr>
        <w:t>平衡</w:t>
      </w:r>
      <w:r>
        <w:rPr>
          <w:rFonts w:eastAsia="仿宋_GB2312"/>
          <w:b/>
          <w:bCs/>
          <w:color w:val="000000"/>
        </w:rPr>
        <w:t>情况</w:t>
      </w:r>
    </w:p>
    <w:p>
      <w:pPr>
        <w:ind w:firstLine="632" w:firstLineChars="200"/>
        <w:rPr>
          <w:rFonts w:hint="eastAsia" w:ascii="仿宋_GB2312" w:hAnsi="Times New Roman" w:eastAsia="仿宋_GB2312" w:cs="Times New Roman"/>
          <w:color w:val="000000"/>
          <w:lang w:eastAsia="zh-CN"/>
        </w:rPr>
      </w:pPr>
      <w:r>
        <w:rPr>
          <w:rFonts w:hint="default" w:ascii="仿宋_GB2312" w:hAnsi="Times New Roman" w:eastAsia="仿宋_GB2312" w:cs="Times New Roman"/>
          <w:color w:val="000000"/>
          <w:lang w:eastAsia="zh-CN"/>
        </w:rPr>
        <w:t>20</w:t>
      </w:r>
      <w:r>
        <w:rPr>
          <w:rFonts w:hint="eastAsia" w:ascii="仿宋_GB2312" w:hAnsi="Times New Roman" w:eastAsia="仿宋_GB2312" w:cs="Times New Roman"/>
          <w:color w:val="000000"/>
          <w:lang w:val="en-US" w:eastAsia="zh-CN"/>
        </w:rPr>
        <w:t>21</w:t>
      </w:r>
      <w:r>
        <w:rPr>
          <w:rFonts w:hint="default" w:ascii="仿宋_GB2312" w:hAnsi="Times New Roman" w:eastAsia="仿宋_GB2312" w:cs="Times New Roman"/>
          <w:color w:val="000000"/>
          <w:lang w:eastAsia="zh-CN"/>
        </w:rPr>
        <w:t>年，全</w:t>
      </w:r>
      <w:r>
        <w:rPr>
          <w:rFonts w:hint="eastAsia" w:ascii="仿宋_GB2312" w:hAnsi="Times New Roman" w:eastAsia="仿宋_GB2312" w:cs="Times New Roman"/>
          <w:color w:val="000000"/>
          <w:lang w:eastAsia="zh-CN"/>
        </w:rPr>
        <w:t>区政府性基金</w:t>
      </w:r>
      <w:r>
        <w:rPr>
          <w:rFonts w:hint="default" w:ascii="仿宋_GB2312" w:hAnsi="Times New Roman" w:eastAsia="仿宋_GB2312" w:cs="Times New Roman"/>
          <w:color w:val="000000"/>
          <w:lang w:eastAsia="zh-CN"/>
        </w:rPr>
        <w:t>收入</w:t>
      </w:r>
      <w:r>
        <w:rPr>
          <w:rFonts w:hint="eastAsia" w:ascii="仿宋_GB2312" w:hAnsi="Times New Roman" w:eastAsia="仿宋_GB2312" w:cs="Times New Roman"/>
          <w:color w:val="000000"/>
          <w:lang w:eastAsia="zh-CN"/>
        </w:rPr>
        <w:t>预计完成</w:t>
      </w:r>
      <w:r>
        <w:rPr>
          <w:rFonts w:hint="eastAsia" w:ascii="仿宋_GB2312" w:hAnsi="Times New Roman" w:eastAsia="仿宋_GB2312" w:cs="Times New Roman"/>
          <w:color w:val="000000"/>
          <w:lang w:val="en-US" w:eastAsia="zh-CN"/>
        </w:rPr>
        <w:t>12976</w:t>
      </w:r>
      <w:r>
        <w:rPr>
          <w:rFonts w:hint="default" w:ascii="仿宋_GB2312" w:hAnsi="Times New Roman" w:eastAsia="仿宋_GB2312" w:cs="Times New Roman"/>
          <w:color w:val="000000"/>
          <w:lang w:eastAsia="zh-CN"/>
        </w:rPr>
        <w:t>万元，</w:t>
      </w:r>
      <w:r>
        <w:rPr>
          <w:rFonts w:hint="eastAsia" w:ascii="仿宋_GB2312" w:hAnsi="Times New Roman" w:eastAsia="仿宋_GB2312" w:cs="Times New Roman"/>
          <w:color w:val="000000"/>
          <w:lang w:eastAsia="zh-CN"/>
        </w:rPr>
        <w:t>上级财政各项补助收入</w:t>
      </w:r>
      <w:r>
        <w:rPr>
          <w:rFonts w:hint="eastAsia" w:ascii="仿宋_GB2312" w:hAnsi="Times New Roman" w:eastAsia="仿宋_GB2312" w:cs="Times New Roman"/>
          <w:color w:val="000000"/>
          <w:lang w:val="en-US" w:eastAsia="zh-CN"/>
        </w:rPr>
        <w:t>830万元，债务转贷收入2333万元，收入总计16139万元。</w:t>
      </w:r>
      <w:r>
        <w:rPr>
          <w:rFonts w:hint="default" w:ascii="仿宋_GB2312" w:hAnsi="Times New Roman" w:eastAsia="仿宋_GB2312" w:cs="Times New Roman"/>
          <w:color w:val="000000"/>
          <w:lang w:eastAsia="zh-CN"/>
        </w:rPr>
        <w:t>全</w:t>
      </w:r>
      <w:r>
        <w:rPr>
          <w:rFonts w:hint="eastAsia" w:ascii="仿宋_GB2312" w:hAnsi="Times New Roman" w:eastAsia="仿宋_GB2312" w:cs="Times New Roman"/>
          <w:color w:val="000000"/>
          <w:lang w:eastAsia="zh-CN"/>
        </w:rPr>
        <w:t>区政府性基金</w:t>
      </w:r>
      <w:r>
        <w:rPr>
          <w:rFonts w:hint="default" w:ascii="仿宋_GB2312" w:hAnsi="Times New Roman" w:eastAsia="仿宋_GB2312" w:cs="Times New Roman"/>
          <w:color w:val="000000"/>
          <w:lang w:eastAsia="zh-CN"/>
        </w:rPr>
        <w:t>预算支出</w:t>
      </w:r>
      <w:r>
        <w:rPr>
          <w:rFonts w:hint="eastAsia" w:ascii="仿宋_GB2312" w:hAnsi="Times New Roman" w:eastAsia="仿宋_GB2312" w:cs="Times New Roman"/>
          <w:color w:val="000000"/>
          <w:lang w:eastAsia="zh-CN"/>
        </w:rPr>
        <w:t>预计</w:t>
      </w:r>
      <w:r>
        <w:rPr>
          <w:rFonts w:hint="default" w:ascii="仿宋_GB2312" w:hAnsi="Times New Roman" w:eastAsia="仿宋_GB2312" w:cs="Times New Roman"/>
          <w:color w:val="000000"/>
          <w:lang w:eastAsia="zh-CN"/>
        </w:rPr>
        <w:t>完成</w:t>
      </w:r>
      <w:r>
        <w:rPr>
          <w:rFonts w:hint="eastAsia" w:ascii="仿宋_GB2312" w:hAnsi="Times New Roman" w:eastAsia="仿宋_GB2312" w:cs="Times New Roman"/>
          <w:color w:val="000000"/>
          <w:lang w:val="en-US" w:eastAsia="zh-CN"/>
        </w:rPr>
        <w:t>13806</w:t>
      </w:r>
      <w:r>
        <w:rPr>
          <w:rFonts w:hint="default" w:ascii="仿宋_GB2312" w:hAnsi="Times New Roman" w:eastAsia="仿宋_GB2312" w:cs="Times New Roman"/>
          <w:color w:val="000000"/>
          <w:lang w:eastAsia="zh-CN"/>
        </w:rPr>
        <w:t>万元，</w:t>
      </w:r>
      <w:r>
        <w:rPr>
          <w:rFonts w:hint="eastAsia" w:ascii="仿宋_GB2312" w:hAnsi="Times New Roman" w:eastAsia="仿宋_GB2312" w:cs="Times New Roman"/>
          <w:color w:val="000000"/>
          <w:lang w:eastAsia="zh-CN"/>
        </w:rPr>
        <w:t>债务还本支出</w:t>
      </w:r>
      <w:r>
        <w:rPr>
          <w:rFonts w:hint="eastAsia" w:ascii="仿宋_GB2312" w:hAnsi="Times New Roman" w:eastAsia="仿宋_GB2312" w:cs="Times New Roman"/>
          <w:color w:val="000000"/>
          <w:lang w:val="en-US" w:eastAsia="zh-CN"/>
        </w:rPr>
        <w:t>2333万元，支出总计16139万元，</w:t>
      </w:r>
      <w:r>
        <w:rPr>
          <w:rFonts w:hint="default" w:ascii="仿宋_GB2312" w:hAnsi="Times New Roman" w:eastAsia="仿宋_GB2312" w:cs="Times New Roman"/>
          <w:color w:val="000000"/>
          <w:lang w:eastAsia="zh-CN"/>
        </w:rPr>
        <w:t>实现收支平衡。</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20</w:t>
      </w:r>
      <w:r>
        <w:rPr>
          <w:rFonts w:hint="eastAsia" w:ascii="Times New Roman" w:hAnsi="Times New Roman" w:eastAsia="黑体" w:cs="Times New Roman"/>
          <w:color w:val="000000"/>
          <w:sz w:val="28"/>
          <w:szCs w:val="28"/>
          <w:highlight w:val="none"/>
          <w:lang w:val="en-US" w:eastAsia="zh-CN"/>
        </w:rPr>
        <w:t>21</w:t>
      </w:r>
      <w:r>
        <w:rPr>
          <w:rFonts w:hint="default" w:ascii="Times New Roman" w:hAnsi="Times New Roman" w:eastAsia="黑体" w:cs="Times New Roman"/>
          <w:color w:val="000000"/>
          <w:sz w:val="28"/>
          <w:szCs w:val="28"/>
          <w:highlight w:val="none"/>
        </w:rPr>
        <w:t>年全</w:t>
      </w:r>
      <w:r>
        <w:rPr>
          <w:rFonts w:hint="eastAsia" w:ascii="Times New Roman" w:hAnsi="Times New Roman" w:eastAsia="黑体" w:cs="Times New Roman"/>
          <w:color w:val="000000"/>
          <w:sz w:val="28"/>
          <w:szCs w:val="28"/>
          <w:highlight w:val="none"/>
          <w:lang w:eastAsia="zh-CN"/>
        </w:rPr>
        <w:t>区</w:t>
      </w:r>
      <w:r>
        <w:rPr>
          <w:rFonts w:hint="default" w:ascii="Times New Roman" w:hAnsi="Times New Roman" w:eastAsia="黑体" w:cs="Times New Roman"/>
          <w:color w:val="000000"/>
          <w:sz w:val="28"/>
          <w:szCs w:val="28"/>
          <w:highlight w:val="none"/>
        </w:rPr>
        <w:t>政府性基金收支平衡情况表</w:t>
      </w:r>
    </w:p>
    <w:p>
      <w:pPr>
        <w:adjustRightInd w:val="0"/>
        <w:snapToGrid w:val="0"/>
        <w:ind w:firstLine="352" w:firstLineChars="200"/>
        <w:rPr>
          <w:rFonts w:hint="default" w:ascii="Times New Roman" w:hAnsi="Times New Roman" w:eastAsia="仿宋_GB2312" w:cs="Times New Roman"/>
          <w:color w:val="0000FF"/>
          <w:highlight w:val="none"/>
        </w:rPr>
      </w:pPr>
      <w:r>
        <w:rPr>
          <w:rFonts w:hint="default" w:ascii="Times New Roman" w:hAnsi="Times New Roman" w:eastAsia="黑体" w:cs="Times New Roman"/>
          <w:color w:val="000000"/>
          <w:sz w:val="18"/>
          <w:szCs w:val="18"/>
          <w:highlight w:val="none"/>
        </w:rPr>
        <w:t xml:space="preserve">                                                                            </w:t>
      </w:r>
      <w:r>
        <w:rPr>
          <w:rFonts w:hint="default" w:ascii="Times New Roman" w:hAnsi="Times New Roman" w:cs="Times New Roman"/>
          <w:color w:val="000000"/>
          <w:sz w:val="18"/>
          <w:szCs w:val="18"/>
          <w:highlight w:val="none"/>
        </w:rPr>
        <w:t xml:space="preserve">        单位：万元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110"/>
        <w:gridCol w:w="3126"/>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2988" w:type="dxa"/>
            <w:noWrap w:val="0"/>
            <w:vAlign w:val="center"/>
          </w:tcPr>
          <w:p>
            <w:pPr>
              <w:adjustRightInd w:val="0"/>
              <w:snapToGrid w:val="0"/>
              <w:jc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收入</w:t>
            </w:r>
          </w:p>
        </w:tc>
        <w:tc>
          <w:tcPr>
            <w:tcW w:w="1110" w:type="dxa"/>
            <w:noWrap w:val="0"/>
            <w:vAlign w:val="center"/>
          </w:tcPr>
          <w:p>
            <w:pPr>
              <w:adjustRightInd w:val="0"/>
              <w:snapToGrid w:val="0"/>
              <w:jc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数额</w:t>
            </w:r>
          </w:p>
        </w:tc>
        <w:tc>
          <w:tcPr>
            <w:tcW w:w="3126" w:type="dxa"/>
            <w:noWrap w:val="0"/>
            <w:vAlign w:val="center"/>
          </w:tcPr>
          <w:p>
            <w:pPr>
              <w:adjustRightInd w:val="0"/>
              <w:snapToGrid w:val="0"/>
              <w:jc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支出</w:t>
            </w:r>
          </w:p>
        </w:tc>
        <w:tc>
          <w:tcPr>
            <w:tcW w:w="1452" w:type="dxa"/>
            <w:noWrap w:val="0"/>
            <w:vAlign w:val="center"/>
          </w:tcPr>
          <w:p>
            <w:pPr>
              <w:adjustRightInd w:val="0"/>
              <w:snapToGrid w:val="0"/>
              <w:jc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数额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2988" w:type="dxa"/>
            <w:noWrap w:val="0"/>
            <w:vAlign w:val="center"/>
          </w:tcPr>
          <w:p>
            <w:pPr>
              <w:adjustRightInd w:val="0"/>
              <w:snapToGrid w:val="0"/>
              <w:jc w:val="left"/>
              <w:rPr>
                <w:rFonts w:hint="eastAsia" w:ascii="Times New Roman" w:hAnsi="Times New Roman" w:eastAsia="黑体"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政府性基金预算收入</w:t>
            </w:r>
          </w:p>
        </w:tc>
        <w:tc>
          <w:tcPr>
            <w:tcW w:w="1110" w:type="dxa"/>
            <w:noWrap w:val="0"/>
            <w:vAlign w:val="center"/>
          </w:tcPr>
          <w:p>
            <w:pPr>
              <w:adjustRightInd w:val="0"/>
              <w:snapToGrid w:val="0"/>
              <w:jc w:val="center"/>
              <w:rPr>
                <w:rFonts w:hint="default" w:ascii="Times New Roman" w:hAnsi="Times New Roman" w:eastAsia="黑体" w:cs="Times New Roman"/>
                <w:color w:val="000000"/>
                <w:sz w:val="24"/>
                <w:szCs w:val="24"/>
                <w:highlight w:val="none"/>
                <w:lang w:val="en-US" w:eastAsia="zh-CN"/>
              </w:rPr>
            </w:pPr>
            <w:r>
              <w:rPr>
                <w:rFonts w:hint="eastAsia" w:ascii="Times New Roman" w:hAnsi="Times New Roman" w:eastAsia="黑体" w:cs="Times New Roman"/>
                <w:color w:val="000000"/>
                <w:sz w:val="24"/>
                <w:szCs w:val="24"/>
                <w:highlight w:val="none"/>
                <w:lang w:val="en-US" w:eastAsia="zh-CN"/>
              </w:rPr>
              <w:t>12976</w:t>
            </w:r>
          </w:p>
        </w:tc>
        <w:tc>
          <w:tcPr>
            <w:tcW w:w="3126" w:type="dxa"/>
            <w:noWrap w:val="0"/>
            <w:vAlign w:val="center"/>
          </w:tcPr>
          <w:p>
            <w:pPr>
              <w:adjustRightInd w:val="0"/>
              <w:snapToGrid w:val="0"/>
              <w:jc w:val="left"/>
              <w:rPr>
                <w:rFonts w:hint="eastAsia" w:ascii="Times New Roman" w:hAnsi="Times New Roman" w:eastAsia="黑体" w:cs="Times New Roman"/>
                <w:color w:val="000000"/>
                <w:sz w:val="24"/>
                <w:szCs w:val="24"/>
                <w:highlight w:val="none"/>
                <w:lang w:eastAsia="zh-CN"/>
              </w:rPr>
            </w:pPr>
            <w:r>
              <w:rPr>
                <w:rFonts w:hint="eastAsia" w:ascii="Times New Roman" w:hAnsi="Times New Roman" w:cs="Times New Roman"/>
                <w:color w:val="000000"/>
                <w:sz w:val="24"/>
                <w:szCs w:val="24"/>
                <w:highlight w:val="none"/>
                <w:lang w:val="en-US" w:eastAsia="zh-CN"/>
              </w:rPr>
              <w:t>政府性基金预算支出</w:t>
            </w:r>
          </w:p>
        </w:tc>
        <w:tc>
          <w:tcPr>
            <w:tcW w:w="1452" w:type="dxa"/>
            <w:noWrap w:val="0"/>
            <w:vAlign w:val="center"/>
          </w:tcPr>
          <w:p>
            <w:pPr>
              <w:adjustRightInd w:val="0"/>
              <w:snapToGrid w:val="0"/>
              <w:jc w:val="center"/>
              <w:rPr>
                <w:rFonts w:hint="default" w:ascii="Times New Roman" w:hAnsi="Times New Roman" w:eastAsia="黑体" w:cs="Times New Roman"/>
                <w:color w:val="000000"/>
                <w:sz w:val="24"/>
                <w:szCs w:val="24"/>
                <w:highlight w:val="none"/>
                <w:lang w:val="en-US" w:eastAsia="zh-CN"/>
              </w:rPr>
            </w:pPr>
            <w:r>
              <w:rPr>
                <w:rFonts w:hint="eastAsia" w:ascii="Times New Roman" w:hAnsi="Times New Roman" w:eastAsia="宋体" w:cs="Times New Roman"/>
                <w:b w:val="0"/>
                <w:bCs w:val="0"/>
                <w:color w:val="000000"/>
                <w:sz w:val="24"/>
                <w:szCs w:val="24"/>
                <w:highlight w:val="none"/>
                <w:lang w:val="en-US" w:eastAsia="zh-CN"/>
              </w:rPr>
              <w:t>13806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2988" w:type="dxa"/>
            <w:noWrap w:val="0"/>
            <w:vAlign w:val="center"/>
          </w:tcPr>
          <w:p>
            <w:pPr>
              <w:adjustRightInd w:val="0"/>
              <w:snapToGrid w:val="0"/>
              <w:jc w:val="left"/>
              <w:rPr>
                <w:rFonts w:hint="eastAsia" w:ascii="Times New Roman" w:hAnsi="Times New Roman" w:eastAsia="宋体" w:cs="Times New Roman"/>
                <w:color w:val="000000"/>
                <w:sz w:val="24"/>
                <w:szCs w:val="24"/>
                <w:highlight w:val="none"/>
                <w:lang w:eastAsia="zh-CN"/>
              </w:rPr>
            </w:pPr>
            <w:r>
              <w:rPr>
                <w:rFonts w:hint="eastAsia" w:ascii="Times New Roman" w:hAnsi="Times New Roman" w:cs="Times New Roman"/>
                <w:color w:val="000000"/>
                <w:sz w:val="24"/>
                <w:szCs w:val="24"/>
                <w:highlight w:val="none"/>
                <w:lang w:eastAsia="zh-CN"/>
              </w:rPr>
              <w:t>上级各项补助</w:t>
            </w:r>
          </w:p>
        </w:tc>
        <w:tc>
          <w:tcPr>
            <w:tcW w:w="1110" w:type="dxa"/>
            <w:noWrap w:val="0"/>
            <w:vAlign w:val="center"/>
          </w:tcPr>
          <w:p>
            <w:pPr>
              <w:adjustRightInd w:val="0"/>
              <w:snapToGrid w:val="0"/>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830</w:t>
            </w:r>
          </w:p>
        </w:tc>
        <w:tc>
          <w:tcPr>
            <w:tcW w:w="3126" w:type="dxa"/>
            <w:noWrap w:val="0"/>
            <w:vAlign w:val="center"/>
          </w:tcPr>
          <w:p>
            <w:pPr>
              <w:adjustRightInd w:val="0"/>
              <w:snapToGrid w:val="0"/>
              <w:jc w:val="left"/>
              <w:rPr>
                <w:rFonts w:hint="eastAsia" w:ascii="Times New Roman" w:hAnsi="Times New Roman" w:eastAsia="宋体" w:cs="Times New Roman"/>
                <w:color w:val="000000"/>
                <w:sz w:val="24"/>
                <w:szCs w:val="24"/>
                <w:highlight w:val="none"/>
                <w:lang w:eastAsia="zh-CN"/>
              </w:rPr>
            </w:pPr>
          </w:p>
        </w:tc>
        <w:tc>
          <w:tcPr>
            <w:tcW w:w="1452" w:type="dxa"/>
            <w:noWrap w:val="0"/>
            <w:vAlign w:val="center"/>
          </w:tcPr>
          <w:p>
            <w:pPr>
              <w:adjustRightInd w:val="0"/>
              <w:snapToGrid w:val="0"/>
              <w:jc w:val="center"/>
              <w:rPr>
                <w:rFonts w:hint="eastAsia" w:ascii="Times New Roman" w:hAnsi="Times New Roman" w:eastAsia="宋体" w:cs="Times New Roman"/>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2988" w:type="dxa"/>
            <w:noWrap w:val="0"/>
            <w:vAlign w:val="center"/>
          </w:tcPr>
          <w:p>
            <w:pPr>
              <w:adjustRightInd w:val="0"/>
              <w:snapToGrid w:val="0"/>
              <w:jc w:val="both"/>
              <w:rPr>
                <w:rFonts w:hint="eastAsia" w:ascii="Times New Roman" w:hAnsi="Times New Roman" w:eastAsia="宋体" w:cs="Times New Roman"/>
                <w:b/>
                <w:bCs/>
                <w:color w:val="000000"/>
                <w:sz w:val="24"/>
                <w:szCs w:val="24"/>
                <w:highlight w:val="none"/>
                <w:lang w:eastAsia="zh-CN"/>
              </w:rPr>
            </w:pPr>
            <w:r>
              <w:rPr>
                <w:rFonts w:hint="eastAsia" w:ascii="Times New Roman" w:hAnsi="Times New Roman" w:eastAsia="宋体" w:cs="Times New Roman"/>
                <w:color w:val="000000"/>
                <w:sz w:val="24"/>
                <w:szCs w:val="24"/>
                <w:highlight w:val="none"/>
                <w:lang w:eastAsia="zh-CN"/>
              </w:rPr>
              <w:t>债务转贷收入</w:t>
            </w:r>
          </w:p>
        </w:tc>
        <w:tc>
          <w:tcPr>
            <w:tcW w:w="1110" w:type="dxa"/>
            <w:noWrap w:val="0"/>
            <w:vAlign w:val="center"/>
          </w:tcPr>
          <w:p>
            <w:pPr>
              <w:adjustRightInd w:val="0"/>
              <w:snapToGrid w:val="0"/>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2333</w:t>
            </w:r>
          </w:p>
        </w:tc>
        <w:tc>
          <w:tcPr>
            <w:tcW w:w="3126" w:type="dxa"/>
            <w:noWrap w:val="0"/>
            <w:vAlign w:val="center"/>
          </w:tcPr>
          <w:p>
            <w:pPr>
              <w:adjustRightInd w:val="0"/>
              <w:snapToGrid w:val="0"/>
              <w:jc w:val="both"/>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债务还本支出</w:t>
            </w:r>
          </w:p>
        </w:tc>
        <w:tc>
          <w:tcPr>
            <w:tcW w:w="1452" w:type="dxa"/>
            <w:noWrap w:val="0"/>
            <w:vAlign w:val="center"/>
          </w:tcPr>
          <w:p>
            <w:pPr>
              <w:adjustRightInd w:val="0"/>
              <w:snapToGrid w:val="0"/>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2988" w:type="dxa"/>
            <w:noWrap w:val="0"/>
            <w:vAlign w:val="center"/>
          </w:tcPr>
          <w:p>
            <w:pPr>
              <w:adjustRightInd w:val="0"/>
              <w:snapToGrid w:val="0"/>
              <w:jc w:val="center"/>
              <w:rPr>
                <w:rFonts w:hint="default" w:ascii="Times New Roman" w:hAnsi="Times New Roman" w:cs="Times New Roman"/>
                <w:b/>
                <w:bCs/>
                <w:color w:val="000000"/>
                <w:sz w:val="24"/>
                <w:szCs w:val="24"/>
                <w:highlight w:val="none"/>
              </w:rPr>
            </w:pPr>
            <w:r>
              <w:rPr>
                <w:rFonts w:hint="default" w:ascii="Times New Roman" w:hAnsi="Times New Roman" w:cs="Times New Roman"/>
                <w:b/>
                <w:bCs/>
                <w:color w:val="000000"/>
                <w:sz w:val="24"/>
                <w:szCs w:val="24"/>
                <w:highlight w:val="none"/>
              </w:rPr>
              <w:t>收入总计</w:t>
            </w:r>
          </w:p>
        </w:tc>
        <w:tc>
          <w:tcPr>
            <w:tcW w:w="1110" w:type="dxa"/>
            <w:noWrap w:val="0"/>
            <w:vAlign w:val="center"/>
          </w:tcPr>
          <w:p>
            <w:pPr>
              <w:adjustRightInd w:val="0"/>
              <w:snapToGrid w:val="0"/>
              <w:jc w:val="center"/>
              <w:rPr>
                <w:rFonts w:hint="default" w:ascii="Times New Roman" w:hAnsi="Times New Roman" w:eastAsia="宋体" w:cs="Times New Roman"/>
                <w:b/>
                <w:bCs/>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rPr>
              <w:t>16139</w:t>
            </w:r>
          </w:p>
        </w:tc>
        <w:tc>
          <w:tcPr>
            <w:tcW w:w="3126" w:type="dxa"/>
            <w:noWrap w:val="0"/>
            <w:vAlign w:val="center"/>
          </w:tcPr>
          <w:p>
            <w:pPr>
              <w:adjustRightInd w:val="0"/>
              <w:snapToGrid w:val="0"/>
              <w:jc w:val="center"/>
              <w:rPr>
                <w:rFonts w:hint="default" w:ascii="Times New Roman" w:hAnsi="Times New Roman" w:cs="Times New Roman"/>
                <w:b/>
                <w:bCs/>
                <w:color w:val="000000"/>
                <w:sz w:val="24"/>
                <w:szCs w:val="24"/>
                <w:highlight w:val="none"/>
              </w:rPr>
            </w:pPr>
            <w:r>
              <w:rPr>
                <w:rFonts w:hint="default" w:ascii="Times New Roman" w:hAnsi="Times New Roman" w:cs="Times New Roman"/>
                <w:b/>
                <w:bCs/>
                <w:color w:val="000000"/>
                <w:sz w:val="24"/>
                <w:szCs w:val="24"/>
                <w:highlight w:val="none"/>
              </w:rPr>
              <w:t>支出总计</w:t>
            </w:r>
          </w:p>
        </w:tc>
        <w:tc>
          <w:tcPr>
            <w:tcW w:w="1452" w:type="dxa"/>
            <w:noWrap w:val="0"/>
            <w:vAlign w:val="center"/>
          </w:tcPr>
          <w:p>
            <w:pPr>
              <w:adjustRightInd w:val="0"/>
              <w:snapToGrid w:val="0"/>
              <w:jc w:val="center"/>
              <w:rPr>
                <w:rFonts w:hint="default" w:ascii="Times New Roman" w:hAnsi="Times New Roman" w:eastAsia="宋体" w:cs="Times New Roman"/>
                <w:b/>
                <w:bCs/>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rPr>
              <w:t>16139</w:t>
            </w:r>
          </w:p>
        </w:tc>
      </w:tr>
    </w:tbl>
    <w:p>
      <w:pPr>
        <w:adjustRightInd w:val="0"/>
        <w:snapToGrid w:val="0"/>
        <w:ind w:firstLine="412" w:firstLineChars="200"/>
        <w:jc w:val="right"/>
        <w:rPr>
          <w:rFonts w:hint="default" w:ascii="Times New Roman" w:hAnsi="Times New Roman" w:cs="Times New Roman"/>
          <w:color w:val="000000"/>
          <w:sz w:val="21"/>
          <w:szCs w:val="21"/>
          <w:highlight w:val="none"/>
        </w:rPr>
      </w:pPr>
    </w:p>
    <w:p>
      <w:pPr>
        <w:adjustRightInd w:val="0"/>
        <w:snapToGrid w:val="0"/>
        <w:spacing w:line="600" w:lineRule="exact"/>
        <w:ind w:firstLine="632" w:firstLineChars="200"/>
        <w:rPr>
          <w:rFonts w:ascii="Times New Roman" w:hAnsi="Times New Roman" w:eastAsia="仿宋_GB2312" w:cs="Times New Roman"/>
          <w:b/>
          <w:bCs/>
          <w:color w:val="000000"/>
        </w:rPr>
      </w:pPr>
      <w:r>
        <w:rPr>
          <w:rFonts w:ascii="Times New Roman" w:hAnsi="Times New Roman" w:eastAsia="仿宋_GB2312" w:cs="Times New Roman"/>
          <w:b/>
          <w:bCs/>
          <w:color w:val="000000"/>
        </w:rPr>
        <w:t>（三）</w:t>
      </w:r>
      <w:r>
        <w:rPr>
          <w:rFonts w:hint="eastAsia" w:ascii="Times New Roman" w:hAnsi="Times New Roman" w:eastAsia="仿宋_GB2312" w:cs="Times New Roman"/>
          <w:b/>
          <w:bCs/>
          <w:color w:val="000000"/>
          <w:lang w:eastAsia="zh-CN"/>
        </w:rPr>
        <w:t>国有资本经营</w:t>
      </w:r>
      <w:r>
        <w:rPr>
          <w:rFonts w:ascii="Times New Roman" w:hAnsi="Times New Roman" w:eastAsia="仿宋_GB2312" w:cs="Times New Roman"/>
          <w:b/>
          <w:bCs/>
          <w:color w:val="000000"/>
        </w:rPr>
        <w:t>预算执行情况</w:t>
      </w:r>
    </w:p>
    <w:p>
      <w:pPr>
        <w:adjustRightInd w:val="0"/>
        <w:snapToGrid w:val="0"/>
        <w:spacing w:line="600" w:lineRule="exact"/>
        <w:ind w:firstLine="615"/>
        <w:rPr>
          <w:rFonts w:hint="eastAsia" w:ascii="仿宋_GB2312" w:hAnsi="Times New Roman" w:eastAsia="仿宋_GB2312" w:cs="Times New Roman"/>
        </w:rPr>
      </w:pPr>
      <w:r>
        <w:rPr>
          <w:rFonts w:hint="default" w:ascii="仿宋_GB2312" w:hAnsi="Times New Roman" w:eastAsia="仿宋_GB2312" w:cs="Times New Roman"/>
        </w:rPr>
        <w:t>20</w:t>
      </w:r>
      <w:r>
        <w:rPr>
          <w:rFonts w:hint="eastAsia" w:ascii="仿宋_GB2312" w:hAnsi="Times New Roman" w:eastAsia="仿宋_GB2312" w:cs="Times New Roman"/>
          <w:lang w:val="en-US" w:eastAsia="zh-CN"/>
        </w:rPr>
        <w:t>21</w:t>
      </w:r>
      <w:r>
        <w:rPr>
          <w:rFonts w:hint="eastAsia" w:ascii="仿宋_GB2312" w:hAnsi="Times New Roman" w:eastAsia="仿宋_GB2312" w:cs="Times New Roman"/>
        </w:rPr>
        <w:t>年，</w:t>
      </w:r>
      <w:r>
        <w:rPr>
          <w:rFonts w:hint="eastAsia" w:ascii="仿宋_GB2312" w:hAnsi="Times New Roman" w:eastAsia="仿宋_GB2312" w:cs="Times New Roman"/>
          <w:lang w:eastAsia="zh-CN"/>
        </w:rPr>
        <w:t>国有资本经营预算</w:t>
      </w:r>
      <w:r>
        <w:rPr>
          <w:rFonts w:hint="eastAsia" w:ascii="仿宋_GB2312" w:hAnsi="Times New Roman" w:eastAsia="仿宋_GB2312" w:cs="Times New Roman"/>
        </w:rPr>
        <w:t>收入</w:t>
      </w:r>
      <w:r>
        <w:rPr>
          <w:rFonts w:hint="eastAsia" w:ascii="仿宋_GB2312" w:hAnsi="Times New Roman" w:eastAsia="仿宋_GB2312" w:cs="Times New Roman"/>
          <w:lang w:eastAsia="zh-CN"/>
        </w:rPr>
        <w:t>总计</w:t>
      </w:r>
      <w:r>
        <w:rPr>
          <w:rFonts w:hint="eastAsia" w:ascii="仿宋_GB2312" w:hAnsi="Times New Roman" w:eastAsia="仿宋_GB2312" w:cs="Times New Roman"/>
          <w:lang w:val="en-US" w:eastAsia="zh-CN"/>
        </w:rPr>
        <w:t>131万元，</w:t>
      </w:r>
      <w:r>
        <w:rPr>
          <w:rFonts w:hint="eastAsia" w:ascii="仿宋_GB2312" w:hAnsi="Times New Roman" w:eastAsia="仿宋_GB2312" w:cs="Times New Roman"/>
          <w:color w:val="000000"/>
          <w:lang w:eastAsia="zh-CN"/>
        </w:rPr>
        <w:t>为调整预算的</w:t>
      </w:r>
      <w:r>
        <w:rPr>
          <w:rFonts w:hint="eastAsia" w:ascii="仿宋_GB2312" w:hAnsi="Times New Roman" w:eastAsia="仿宋_GB2312" w:cs="Times New Roman"/>
          <w:color w:val="000000"/>
          <w:lang w:val="en-US" w:eastAsia="zh-CN"/>
        </w:rPr>
        <w:t>100%，</w:t>
      </w:r>
      <w:r>
        <w:rPr>
          <w:rFonts w:hint="eastAsia" w:ascii="仿宋_GB2312" w:hAnsi="Times New Roman" w:eastAsia="仿宋_GB2312" w:cs="Times New Roman"/>
          <w:lang w:val="en-US" w:eastAsia="zh-CN"/>
        </w:rPr>
        <w:t>全部为上级财政各项补助收入。</w:t>
      </w:r>
      <w:r>
        <w:rPr>
          <w:rFonts w:hint="eastAsia" w:ascii="仿宋_GB2312" w:hAnsi="Times New Roman" w:eastAsia="仿宋_GB2312" w:cs="Times New Roman"/>
          <w:lang w:eastAsia="zh-CN"/>
        </w:rPr>
        <w:t>国有资本经营预算支出总计</w:t>
      </w:r>
      <w:r>
        <w:rPr>
          <w:rFonts w:hint="eastAsia" w:ascii="仿宋_GB2312" w:hAnsi="Times New Roman" w:eastAsia="仿宋_GB2312" w:cs="Times New Roman"/>
          <w:lang w:val="en-US" w:eastAsia="zh-CN"/>
        </w:rPr>
        <w:t>131万元，</w:t>
      </w:r>
      <w:r>
        <w:rPr>
          <w:rFonts w:hint="eastAsia" w:ascii="仿宋_GB2312" w:hAnsi="Times New Roman" w:eastAsia="仿宋_GB2312" w:cs="Times New Roman"/>
          <w:color w:val="000000"/>
          <w:lang w:eastAsia="zh-CN"/>
        </w:rPr>
        <w:t>为调整预算的</w:t>
      </w:r>
      <w:r>
        <w:rPr>
          <w:rFonts w:hint="eastAsia" w:ascii="仿宋_GB2312" w:hAnsi="Times New Roman" w:eastAsia="仿宋_GB2312" w:cs="Times New Roman"/>
          <w:color w:val="000000"/>
          <w:lang w:val="en-US" w:eastAsia="zh-CN"/>
        </w:rPr>
        <w:t>100%，</w:t>
      </w:r>
      <w:r>
        <w:rPr>
          <w:rFonts w:hint="eastAsia" w:ascii="仿宋_GB2312" w:hAnsi="Times New Roman" w:eastAsia="仿宋_GB2312" w:cs="Times New Roman"/>
          <w:lang w:val="en-US" w:eastAsia="zh-CN"/>
        </w:rPr>
        <w:t>主要是解决国有企业退休人员社会化管理支出。</w:t>
      </w:r>
    </w:p>
    <w:p>
      <w:pPr>
        <w:adjustRightInd w:val="0"/>
        <w:snapToGrid w:val="0"/>
        <w:spacing w:line="600" w:lineRule="exact"/>
        <w:rPr>
          <w:rFonts w:eastAsia="楷体"/>
          <w:b/>
          <w:color w:val="000000"/>
        </w:rPr>
      </w:pPr>
      <w:r>
        <w:rPr>
          <w:rFonts w:hint="eastAsia" w:eastAsia="楷体"/>
          <w:b/>
          <w:color w:val="000000"/>
          <w:lang w:val="en-US" w:eastAsia="zh-CN"/>
        </w:rPr>
        <w:t xml:space="preserve">    </w:t>
      </w:r>
      <w:r>
        <w:rPr>
          <w:rFonts w:ascii="Times New Roman" w:hAnsi="Times New Roman" w:eastAsia="仿宋_GB2312" w:cs="Times New Roman"/>
          <w:b/>
          <w:bCs/>
          <w:color w:val="000000"/>
        </w:rPr>
        <w:t>（</w:t>
      </w:r>
      <w:r>
        <w:rPr>
          <w:rFonts w:hint="eastAsia" w:ascii="Times New Roman" w:hAnsi="Times New Roman" w:eastAsia="仿宋_GB2312" w:cs="Times New Roman"/>
          <w:b/>
          <w:bCs/>
          <w:color w:val="000000"/>
          <w:lang w:eastAsia="zh-CN"/>
        </w:rPr>
        <w:t>四</w:t>
      </w:r>
      <w:r>
        <w:rPr>
          <w:rFonts w:ascii="Times New Roman" w:hAnsi="Times New Roman" w:eastAsia="仿宋_GB2312" w:cs="Times New Roman"/>
          <w:b/>
          <w:bCs/>
          <w:color w:val="000000"/>
        </w:rPr>
        <w:t>）社会保险基金预算执行情况</w:t>
      </w:r>
    </w:p>
    <w:p>
      <w:pPr>
        <w:adjustRightInd w:val="0"/>
        <w:snapToGrid w:val="0"/>
        <w:spacing w:line="600" w:lineRule="exact"/>
        <w:ind w:firstLine="632" w:firstLineChars="200"/>
        <w:rPr>
          <w:rFonts w:hint="default" w:ascii="Times New Roman" w:hAnsi="Times New Roman" w:eastAsia="仿宋_GB2312" w:cs="Times New Roman"/>
          <w:b/>
          <w:bCs/>
        </w:rPr>
      </w:pPr>
      <w:r>
        <w:rPr>
          <w:rFonts w:eastAsia="仿宋_GB2312"/>
          <w:b/>
          <w:bCs/>
          <w:color w:val="000000"/>
        </w:rPr>
        <w:t>1.</w:t>
      </w:r>
      <w:r>
        <w:rPr>
          <w:rFonts w:hint="eastAsia" w:eastAsia="仿宋_GB2312"/>
          <w:b/>
          <w:bCs/>
          <w:color w:val="000000"/>
          <w:lang w:eastAsia="zh-CN"/>
        </w:rPr>
        <w:t>社会保险</w:t>
      </w:r>
      <w:r>
        <w:rPr>
          <w:rFonts w:eastAsia="仿宋_GB2312"/>
          <w:b/>
          <w:bCs/>
          <w:color w:val="000000"/>
        </w:rPr>
        <w:t>基金收支情况</w:t>
      </w:r>
    </w:p>
    <w:p>
      <w:pPr>
        <w:adjustRightInd w:val="0"/>
        <w:snapToGrid w:val="0"/>
        <w:spacing w:line="600" w:lineRule="exact"/>
        <w:ind w:firstLine="615"/>
        <w:rPr>
          <w:rFonts w:hint="eastAsia" w:ascii="仿宋_GB2312" w:hAnsi="Times New Roman" w:eastAsia="仿宋_GB2312" w:cs="Times New Roman"/>
          <w:lang w:eastAsia="zh-CN"/>
        </w:rPr>
      </w:pPr>
      <w:r>
        <w:rPr>
          <w:rFonts w:hint="default" w:ascii="仿宋_GB2312" w:hAnsi="Times New Roman" w:eastAsia="仿宋_GB2312" w:cs="Times New Roman"/>
          <w:lang w:eastAsia="zh-CN"/>
        </w:rPr>
        <w:t>20</w:t>
      </w:r>
      <w:r>
        <w:rPr>
          <w:rFonts w:hint="eastAsia" w:ascii="仿宋_GB2312" w:hAnsi="Times New Roman" w:eastAsia="仿宋_GB2312" w:cs="Times New Roman"/>
          <w:lang w:val="en-US" w:eastAsia="zh-CN"/>
        </w:rPr>
        <w:t>21</w:t>
      </w:r>
      <w:r>
        <w:rPr>
          <w:rFonts w:hint="eastAsia" w:ascii="仿宋_GB2312" w:hAnsi="Times New Roman" w:eastAsia="仿宋_GB2312" w:cs="Times New Roman"/>
          <w:lang w:eastAsia="zh-CN"/>
        </w:rPr>
        <w:t>年，社会保险基金收入预计完成</w:t>
      </w:r>
      <w:r>
        <w:rPr>
          <w:rFonts w:hint="eastAsia" w:ascii="仿宋_GB2312" w:hAnsi="Times New Roman" w:eastAsia="仿宋_GB2312" w:cs="Times New Roman"/>
          <w:lang w:val="en-US" w:eastAsia="zh-CN"/>
        </w:rPr>
        <w:t>3800</w:t>
      </w:r>
      <w:r>
        <w:rPr>
          <w:rFonts w:hint="eastAsia" w:ascii="仿宋_GB2312" w:hAnsi="Times New Roman" w:eastAsia="仿宋_GB2312" w:cs="Times New Roman"/>
          <w:lang w:eastAsia="zh-CN"/>
        </w:rPr>
        <w:t>万元，</w:t>
      </w:r>
      <w:r>
        <w:rPr>
          <w:rFonts w:hint="eastAsia" w:ascii="仿宋_GB2312" w:hAnsi="Times New Roman" w:eastAsia="仿宋_GB2312" w:cs="Times New Roman"/>
          <w:color w:val="000000"/>
          <w:lang w:eastAsia="zh-CN"/>
        </w:rPr>
        <w:t>为调整预算的</w:t>
      </w:r>
      <w:r>
        <w:rPr>
          <w:rFonts w:hint="eastAsia" w:ascii="仿宋_GB2312" w:hAnsi="Times New Roman" w:eastAsia="仿宋_GB2312" w:cs="Times New Roman"/>
          <w:color w:val="000000"/>
          <w:lang w:val="en-US" w:eastAsia="zh-CN"/>
        </w:rPr>
        <w:t>100%，</w:t>
      </w:r>
      <w:r>
        <w:rPr>
          <w:rFonts w:hint="eastAsia" w:ascii="仿宋_GB2312" w:hAnsi="Times New Roman" w:eastAsia="仿宋_GB2312" w:cs="Times New Roman"/>
          <w:lang w:eastAsia="zh-CN"/>
        </w:rPr>
        <w:t>同比增长</w:t>
      </w:r>
      <w:r>
        <w:rPr>
          <w:rFonts w:hint="eastAsia" w:ascii="仿宋_GB2312" w:hAnsi="Times New Roman" w:eastAsia="仿宋_GB2312" w:cs="Times New Roman"/>
          <w:lang w:val="en-US" w:eastAsia="zh-CN"/>
        </w:rPr>
        <w:t>1.8%</w:t>
      </w:r>
      <w:r>
        <w:rPr>
          <w:rFonts w:hint="eastAsia" w:ascii="仿宋_GB2312" w:hAnsi="Times New Roman" w:eastAsia="仿宋_GB2312" w:cs="Times New Roman"/>
          <w:lang w:eastAsia="zh-CN"/>
        </w:rPr>
        <w:t>。社会保险基金支出预计完成</w:t>
      </w:r>
      <w:r>
        <w:rPr>
          <w:rFonts w:hint="eastAsia" w:ascii="仿宋_GB2312" w:hAnsi="Times New Roman" w:eastAsia="仿宋_GB2312" w:cs="Times New Roman"/>
          <w:lang w:val="en-US" w:eastAsia="zh-CN"/>
        </w:rPr>
        <w:t>8244</w:t>
      </w:r>
      <w:r>
        <w:rPr>
          <w:rFonts w:hint="eastAsia" w:ascii="仿宋_GB2312" w:hAnsi="Times New Roman" w:eastAsia="仿宋_GB2312" w:cs="Times New Roman"/>
          <w:lang w:eastAsia="zh-CN"/>
        </w:rPr>
        <w:t>万元，</w:t>
      </w:r>
      <w:r>
        <w:rPr>
          <w:rFonts w:hint="eastAsia" w:ascii="仿宋_GB2312" w:hAnsi="Times New Roman" w:eastAsia="仿宋_GB2312" w:cs="Times New Roman"/>
          <w:lang w:val="en-US" w:eastAsia="zh-CN"/>
        </w:rPr>
        <w:t>同比</w:t>
      </w:r>
      <w:r>
        <w:rPr>
          <w:rFonts w:hint="eastAsia" w:ascii="仿宋_GB2312" w:hAnsi="Times New Roman" w:eastAsia="仿宋_GB2312" w:cs="Times New Roman"/>
          <w:lang w:eastAsia="zh-CN"/>
        </w:rPr>
        <w:t>增长</w:t>
      </w:r>
      <w:r>
        <w:rPr>
          <w:rFonts w:hint="eastAsia" w:ascii="仿宋_GB2312" w:hAnsi="Times New Roman" w:eastAsia="仿宋_GB2312" w:cs="Times New Roman"/>
          <w:lang w:val="en-US" w:eastAsia="zh-CN"/>
        </w:rPr>
        <w:t>0.6</w:t>
      </w:r>
      <w:r>
        <w:rPr>
          <w:rFonts w:hint="eastAsia" w:ascii="仿宋_GB2312" w:hAnsi="Times New Roman" w:eastAsia="仿宋_GB2312" w:cs="Times New Roman"/>
          <w:lang w:eastAsia="zh-CN"/>
        </w:rPr>
        <w:t>%，主要原因是退休人员增加。</w:t>
      </w:r>
    </w:p>
    <w:p>
      <w:pPr>
        <w:numPr>
          <w:ilvl w:val="0"/>
          <w:numId w:val="1"/>
        </w:numPr>
        <w:adjustRightInd w:val="0"/>
        <w:snapToGrid w:val="0"/>
        <w:spacing w:line="600" w:lineRule="exact"/>
        <w:ind w:firstLine="632" w:firstLineChars="200"/>
        <w:rPr>
          <w:rFonts w:eastAsia="仿宋_GB2312"/>
          <w:b/>
          <w:bCs/>
          <w:color w:val="000000"/>
        </w:rPr>
      </w:pPr>
      <w:r>
        <w:rPr>
          <w:rFonts w:hint="eastAsia" w:eastAsia="仿宋_GB2312"/>
          <w:b/>
          <w:bCs/>
          <w:color w:val="000000"/>
          <w:lang w:eastAsia="zh-CN"/>
        </w:rPr>
        <w:t>社会保险</w:t>
      </w:r>
      <w:r>
        <w:rPr>
          <w:rFonts w:eastAsia="仿宋_GB2312"/>
          <w:b/>
          <w:bCs/>
          <w:color w:val="000000"/>
        </w:rPr>
        <w:t>基金收支</w:t>
      </w:r>
      <w:r>
        <w:rPr>
          <w:rFonts w:hint="eastAsia" w:eastAsia="仿宋_GB2312"/>
          <w:b/>
          <w:bCs/>
          <w:color w:val="000000"/>
          <w:lang w:eastAsia="zh-CN"/>
        </w:rPr>
        <w:t>平衡</w:t>
      </w:r>
      <w:r>
        <w:rPr>
          <w:rFonts w:eastAsia="仿宋_GB2312"/>
          <w:b/>
          <w:bCs/>
          <w:color w:val="000000"/>
        </w:rPr>
        <w:t>情况</w:t>
      </w:r>
    </w:p>
    <w:p>
      <w:pPr>
        <w:adjustRightInd w:val="0"/>
        <w:snapToGrid w:val="0"/>
        <w:spacing w:line="600" w:lineRule="exact"/>
        <w:ind w:firstLine="615"/>
        <w:rPr>
          <w:rFonts w:hint="eastAsia"/>
        </w:rPr>
      </w:pPr>
      <w:r>
        <w:rPr>
          <w:rFonts w:hint="default" w:ascii="仿宋_GB2312" w:hAnsi="Times New Roman" w:eastAsia="仿宋_GB2312" w:cs="Times New Roman"/>
          <w:lang w:eastAsia="zh-CN"/>
        </w:rPr>
        <w:t>20</w:t>
      </w:r>
      <w:r>
        <w:rPr>
          <w:rFonts w:hint="eastAsia" w:ascii="仿宋_GB2312" w:hAnsi="Times New Roman" w:eastAsia="仿宋_GB2312" w:cs="Times New Roman"/>
          <w:lang w:val="en-US" w:eastAsia="zh-CN"/>
        </w:rPr>
        <w:t>21</w:t>
      </w:r>
      <w:r>
        <w:rPr>
          <w:rFonts w:hint="default" w:ascii="仿宋_GB2312" w:hAnsi="Times New Roman" w:eastAsia="仿宋_GB2312" w:cs="Times New Roman"/>
          <w:lang w:eastAsia="zh-CN"/>
        </w:rPr>
        <w:t>年，全</w:t>
      </w:r>
      <w:r>
        <w:rPr>
          <w:rFonts w:hint="eastAsia" w:ascii="仿宋_GB2312" w:hAnsi="Times New Roman" w:eastAsia="仿宋_GB2312" w:cs="Times New Roman"/>
          <w:lang w:eastAsia="zh-CN"/>
        </w:rPr>
        <w:t>区社会保险基金</w:t>
      </w:r>
      <w:r>
        <w:rPr>
          <w:rFonts w:hint="default" w:ascii="仿宋_GB2312" w:hAnsi="Times New Roman" w:eastAsia="仿宋_GB2312" w:cs="Times New Roman"/>
          <w:lang w:eastAsia="zh-CN"/>
        </w:rPr>
        <w:t>收入</w:t>
      </w:r>
      <w:r>
        <w:rPr>
          <w:rFonts w:hint="eastAsia" w:ascii="仿宋_GB2312" w:hAnsi="Times New Roman" w:eastAsia="仿宋_GB2312" w:cs="Times New Roman"/>
          <w:lang w:eastAsia="zh-CN"/>
        </w:rPr>
        <w:t>预计完成</w:t>
      </w:r>
      <w:r>
        <w:rPr>
          <w:rFonts w:hint="eastAsia" w:ascii="仿宋_GB2312" w:hAnsi="Times New Roman" w:eastAsia="仿宋_GB2312" w:cs="Times New Roman"/>
          <w:lang w:val="en-US" w:eastAsia="zh-CN"/>
        </w:rPr>
        <w:t>3800</w:t>
      </w:r>
      <w:r>
        <w:rPr>
          <w:rFonts w:hint="default" w:ascii="仿宋_GB2312" w:hAnsi="Times New Roman" w:eastAsia="仿宋_GB2312" w:cs="Times New Roman"/>
          <w:lang w:eastAsia="zh-CN"/>
        </w:rPr>
        <w:t>万元，</w:t>
      </w:r>
      <w:r>
        <w:rPr>
          <w:rFonts w:hint="eastAsia" w:ascii="仿宋_GB2312" w:hAnsi="Times New Roman" w:eastAsia="仿宋_GB2312" w:cs="Times New Roman"/>
          <w:color w:val="000000"/>
          <w:lang w:eastAsia="zh-CN"/>
        </w:rPr>
        <w:t>为调整预算的</w:t>
      </w:r>
      <w:r>
        <w:rPr>
          <w:rFonts w:hint="eastAsia" w:ascii="仿宋_GB2312" w:hAnsi="Times New Roman" w:eastAsia="仿宋_GB2312" w:cs="Times New Roman"/>
          <w:color w:val="000000"/>
          <w:lang w:val="en-US" w:eastAsia="zh-CN"/>
        </w:rPr>
        <w:t>100%，</w:t>
      </w:r>
      <w:r>
        <w:rPr>
          <w:rFonts w:hint="eastAsia" w:ascii="仿宋_GB2312" w:hAnsi="Times New Roman" w:eastAsia="仿宋_GB2312" w:cs="Times New Roman"/>
          <w:lang w:eastAsia="zh-CN"/>
        </w:rPr>
        <w:t>财政补助收入</w:t>
      </w:r>
      <w:r>
        <w:rPr>
          <w:rFonts w:hint="eastAsia" w:ascii="仿宋_GB2312" w:hAnsi="Times New Roman" w:eastAsia="仿宋_GB2312" w:cs="Times New Roman"/>
          <w:lang w:val="en-US" w:eastAsia="zh-CN"/>
        </w:rPr>
        <w:t>4010万元，转移收入543万元，收入总计8353万元。</w:t>
      </w:r>
      <w:r>
        <w:rPr>
          <w:rFonts w:hint="default" w:ascii="仿宋_GB2312" w:hAnsi="Times New Roman" w:eastAsia="仿宋_GB2312" w:cs="Times New Roman"/>
          <w:lang w:eastAsia="zh-CN"/>
        </w:rPr>
        <w:t>全</w:t>
      </w:r>
      <w:r>
        <w:rPr>
          <w:rFonts w:hint="eastAsia" w:ascii="仿宋_GB2312" w:hAnsi="Times New Roman" w:eastAsia="仿宋_GB2312" w:cs="Times New Roman"/>
          <w:lang w:eastAsia="zh-CN"/>
        </w:rPr>
        <w:t>区社会保险基金</w:t>
      </w:r>
      <w:r>
        <w:rPr>
          <w:rFonts w:hint="default" w:ascii="仿宋_GB2312" w:hAnsi="Times New Roman" w:eastAsia="仿宋_GB2312" w:cs="Times New Roman"/>
          <w:lang w:eastAsia="zh-CN"/>
        </w:rPr>
        <w:t>预算支出</w:t>
      </w:r>
      <w:r>
        <w:rPr>
          <w:rFonts w:hint="eastAsia" w:ascii="仿宋_GB2312" w:hAnsi="Times New Roman" w:eastAsia="仿宋_GB2312" w:cs="Times New Roman"/>
          <w:lang w:eastAsia="zh-CN"/>
        </w:rPr>
        <w:t>预计</w:t>
      </w:r>
      <w:r>
        <w:rPr>
          <w:rFonts w:hint="default" w:ascii="仿宋_GB2312" w:hAnsi="Times New Roman" w:eastAsia="仿宋_GB2312" w:cs="Times New Roman"/>
          <w:lang w:eastAsia="zh-CN"/>
        </w:rPr>
        <w:t>完成</w:t>
      </w:r>
      <w:r>
        <w:rPr>
          <w:rFonts w:hint="eastAsia" w:ascii="仿宋_GB2312" w:hAnsi="Times New Roman" w:eastAsia="仿宋_GB2312" w:cs="Times New Roman"/>
          <w:lang w:val="en-US" w:eastAsia="zh-CN"/>
        </w:rPr>
        <w:t>8353</w:t>
      </w:r>
      <w:r>
        <w:rPr>
          <w:rFonts w:hint="default" w:ascii="仿宋_GB2312" w:hAnsi="Times New Roman" w:eastAsia="仿宋_GB2312" w:cs="Times New Roman"/>
          <w:lang w:eastAsia="zh-CN"/>
        </w:rPr>
        <w:t>万元，</w:t>
      </w:r>
      <w:r>
        <w:rPr>
          <w:rFonts w:hint="eastAsia" w:ascii="仿宋_GB2312" w:hAnsi="Times New Roman" w:eastAsia="仿宋_GB2312" w:cs="Times New Roman"/>
          <w:lang w:eastAsia="zh-CN"/>
        </w:rPr>
        <w:t>其中：机关事业单位养老金支出</w:t>
      </w:r>
      <w:r>
        <w:rPr>
          <w:rFonts w:hint="eastAsia" w:ascii="仿宋_GB2312" w:hAnsi="Times New Roman" w:eastAsia="仿宋_GB2312" w:cs="Times New Roman"/>
          <w:lang w:val="en-US" w:eastAsia="zh-CN"/>
        </w:rPr>
        <w:t>8244万元，转移支出109万元，支出总计8353万元，</w:t>
      </w:r>
      <w:r>
        <w:rPr>
          <w:rFonts w:hint="default" w:ascii="仿宋_GB2312" w:hAnsi="Times New Roman" w:eastAsia="仿宋_GB2312" w:cs="Times New Roman"/>
          <w:lang w:eastAsia="zh-CN"/>
        </w:rPr>
        <w:t>实现收支平衡。</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20</w:t>
      </w:r>
      <w:r>
        <w:rPr>
          <w:rFonts w:hint="eastAsia" w:ascii="Times New Roman" w:hAnsi="Times New Roman" w:eastAsia="黑体" w:cs="Times New Roman"/>
          <w:color w:val="000000"/>
          <w:sz w:val="28"/>
          <w:szCs w:val="28"/>
          <w:highlight w:val="none"/>
          <w:lang w:val="en-US" w:eastAsia="zh-CN"/>
        </w:rPr>
        <w:t>21</w:t>
      </w:r>
      <w:r>
        <w:rPr>
          <w:rFonts w:hint="default" w:ascii="Times New Roman" w:hAnsi="Times New Roman" w:eastAsia="黑体" w:cs="Times New Roman"/>
          <w:color w:val="000000"/>
          <w:sz w:val="28"/>
          <w:szCs w:val="28"/>
          <w:highlight w:val="none"/>
        </w:rPr>
        <w:t>年全</w:t>
      </w:r>
      <w:r>
        <w:rPr>
          <w:rFonts w:hint="eastAsia" w:ascii="Times New Roman" w:hAnsi="Times New Roman" w:eastAsia="黑体" w:cs="Times New Roman"/>
          <w:color w:val="000000"/>
          <w:sz w:val="28"/>
          <w:szCs w:val="28"/>
          <w:highlight w:val="none"/>
          <w:lang w:eastAsia="zh-CN"/>
        </w:rPr>
        <w:t>区社会保险</w:t>
      </w:r>
      <w:r>
        <w:rPr>
          <w:rFonts w:hint="default" w:ascii="Times New Roman" w:hAnsi="Times New Roman" w:eastAsia="黑体" w:cs="Times New Roman"/>
          <w:color w:val="000000"/>
          <w:sz w:val="28"/>
          <w:szCs w:val="28"/>
          <w:highlight w:val="none"/>
        </w:rPr>
        <w:t>基金</w:t>
      </w:r>
      <w:r>
        <w:rPr>
          <w:rFonts w:hint="eastAsia" w:ascii="Times New Roman" w:hAnsi="Times New Roman" w:eastAsia="黑体" w:cs="Times New Roman"/>
          <w:color w:val="000000"/>
          <w:sz w:val="28"/>
          <w:szCs w:val="28"/>
          <w:highlight w:val="none"/>
          <w:lang w:eastAsia="zh-CN"/>
        </w:rPr>
        <w:t>预算</w:t>
      </w:r>
      <w:r>
        <w:rPr>
          <w:rFonts w:hint="default" w:ascii="Times New Roman" w:hAnsi="Times New Roman" w:eastAsia="黑体" w:cs="Times New Roman"/>
          <w:color w:val="000000"/>
          <w:sz w:val="28"/>
          <w:szCs w:val="28"/>
          <w:highlight w:val="none"/>
        </w:rPr>
        <w:t>收支平衡情况表</w:t>
      </w:r>
    </w:p>
    <w:p>
      <w:pPr>
        <w:adjustRightInd w:val="0"/>
        <w:snapToGrid w:val="0"/>
        <w:ind w:firstLine="352" w:firstLineChars="200"/>
        <w:rPr>
          <w:rFonts w:hint="default" w:ascii="Times New Roman" w:hAnsi="Times New Roman" w:eastAsia="仿宋_GB2312" w:cs="Times New Roman"/>
          <w:color w:val="0000FF"/>
          <w:highlight w:val="none"/>
        </w:rPr>
      </w:pPr>
      <w:r>
        <w:rPr>
          <w:rFonts w:hint="default" w:ascii="Times New Roman" w:hAnsi="Times New Roman" w:eastAsia="黑体" w:cs="Times New Roman"/>
          <w:color w:val="000000"/>
          <w:sz w:val="18"/>
          <w:szCs w:val="18"/>
          <w:highlight w:val="none"/>
        </w:rPr>
        <w:t xml:space="preserve">                                                                            </w:t>
      </w:r>
      <w:r>
        <w:rPr>
          <w:rFonts w:hint="default" w:ascii="Times New Roman" w:hAnsi="Times New Roman" w:cs="Times New Roman"/>
          <w:color w:val="000000"/>
          <w:sz w:val="18"/>
          <w:szCs w:val="18"/>
          <w:highlight w:val="none"/>
        </w:rPr>
        <w:t xml:space="preserve">        单位：万元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1410"/>
        <w:gridCol w:w="3141"/>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2673" w:type="dxa"/>
            <w:noWrap w:val="0"/>
            <w:vAlign w:val="center"/>
          </w:tcPr>
          <w:p>
            <w:pPr>
              <w:adjustRightInd w:val="0"/>
              <w:snapToGrid w:val="0"/>
              <w:jc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收入</w:t>
            </w:r>
          </w:p>
        </w:tc>
        <w:tc>
          <w:tcPr>
            <w:tcW w:w="1410" w:type="dxa"/>
            <w:noWrap w:val="0"/>
            <w:vAlign w:val="center"/>
          </w:tcPr>
          <w:p>
            <w:pPr>
              <w:adjustRightInd w:val="0"/>
              <w:snapToGrid w:val="0"/>
              <w:jc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数额</w:t>
            </w:r>
          </w:p>
        </w:tc>
        <w:tc>
          <w:tcPr>
            <w:tcW w:w="3141" w:type="dxa"/>
            <w:noWrap w:val="0"/>
            <w:vAlign w:val="center"/>
          </w:tcPr>
          <w:p>
            <w:pPr>
              <w:adjustRightInd w:val="0"/>
              <w:snapToGrid w:val="0"/>
              <w:jc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支出</w:t>
            </w:r>
          </w:p>
        </w:tc>
        <w:tc>
          <w:tcPr>
            <w:tcW w:w="1452" w:type="dxa"/>
            <w:noWrap w:val="0"/>
            <w:vAlign w:val="center"/>
          </w:tcPr>
          <w:p>
            <w:pPr>
              <w:adjustRightInd w:val="0"/>
              <w:snapToGrid w:val="0"/>
              <w:jc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数额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2673" w:type="dxa"/>
            <w:noWrap w:val="0"/>
            <w:vAlign w:val="center"/>
          </w:tcPr>
          <w:p>
            <w:pPr>
              <w:adjustRightInd w:val="0"/>
              <w:snapToGrid w:val="0"/>
              <w:jc w:val="left"/>
              <w:rPr>
                <w:rFonts w:hint="eastAsia" w:ascii="Times New Roman" w:hAnsi="Times New Roman" w:eastAsia="宋体" w:cs="Times New Roman"/>
                <w:color w:val="000000"/>
                <w:sz w:val="24"/>
                <w:szCs w:val="24"/>
                <w:highlight w:val="none"/>
                <w:lang w:eastAsia="zh-CN"/>
              </w:rPr>
            </w:pPr>
            <w:r>
              <w:rPr>
                <w:rFonts w:hint="eastAsia" w:ascii="Times New Roman" w:hAnsi="Times New Roman" w:cs="Times New Roman"/>
                <w:color w:val="000000"/>
                <w:sz w:val="24"/>
                <w:szCs w:val="24"/>
                <w:highlight w:val="none"/>
                <w:lang w:eastAsia="zh-CN"/>
              </w:rPr>
              <w:t>社会保险基金预算收入</w:t>
            </w:r>
          </w:p>
        </w:tc>
        <w:tc>
          <w:tcPr>
            <w:tcW w:w="1410" w:type="dxa"/>
            <w:noWrap w:val="0"/>
            <w:vAlign w:val="center"/>
          </w:tcPr>
          <w:p>
            <w:pPr>
              <w:adjustRightInd w:val="0"/>
              <w:snapToGrid w:val="0"/>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3800</w:t>
            </w:r>
          </w:p>
        </w:tc>
        <w:tc>
          <w:tcPr>
            <w:tcW w:w="3141" w:type="dxa"/>
            <w:noWrap w:val="0"/>
            <w:vAlign w:val="center"/>
          </w:tcPr>
          <w:p>
            <w:pPr>
              <w:adjustRightInd w:val="0"/>
              <w:snapToGrid w:val="0"/>
              <w:jc w:val="left"/>
              <w:rPr>
                <w:rFonts w:hint="default" w:ascii="Times New Roman" w:hAnsi="Times New Roman" w:cs="Times New Roman"/>
                <w:color w:val="000000"/>
                <w:sz w:val="24"/>
                <w:szCs w:val="24"/>
                <w:highlight w:val="none"/>
              </w:rPr>
            </w:pPr>
            <w:r>
              <w:rPr>
                <w:rFonts w:hint="eastAsia" w:ascii="Times New Roman" w:hAnsi="Times New Roman" w:cs="Times New Roman"/>
                <w:color w:val="000000"/>
                <w:sz w:val="24"/>
                <w:szCs w:val="24"/>
                <w:highlight w:val="none"/>
                <w:lang w:eastAsia="zh-CN"/>
              </w:rPr>
              <w:t>社会保险基金预算支出</w:t>
            </w:r>
          </w:p>
        </w:tc>
        <w:tc>
          <w:tcPr>
            <w:tcW w:w="1452" w:type="dxa"/>
            <w:noWrap w:val="0"/>
            <w:vAlign w:val="center"/>
          </w:tcPr>
          <w:p>
            <w:pPr>
              <w:adjustRightInd w:val="0"/>
              <w:snapToGrid w:val="0"/>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8244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2673" w:type="dxa"/>
            <w:noWrap w:val="0"/>
            <w:vAlign w:val="center"/>
          </w:tcPr>
          <w:p>
            <w:pPr>
              <w:adjustRightInd w:val="0"/>
              <w:snapToGrid w:val="0"/>
              <w:jc w:val="left"/>
              <w:rPr>
                <w:rFonts w:hint="eastAsia" w:ascii="Times New Roman" w:hAnsi="Times New Roman" w:eastAsia="宋体" w:cs="Times New Roman"/>
                <w:color w:val="000000"/>
                <w:sz w:val="24"/>
                <w:szCs w:val="24"/>
                <w:highlight w:val="none"/>
                <w:lang w:eastAsia="zh-CN"/>
              </w:rPr>
            </w:pPr>
            <w:r>
              <w:rPr>
                <w:rFonts w:hint="eastAsia" w:ascii="Times New Roman" w:hAnsi="Times New Roman" w:cs="Times New Roman"/>
                <w:color w:val="000000"/>
                <w:sz w:val="24"/>
                <w:szCs w:val="24"/>
                <w:highlight w:val="none"/>
                <w:lang w:eastAsia="zh-CN"/>
              </w:rPr>
              <w:t>财政补贴收入</w:t>
            </w:r>
          </w:p>
        </w:tc>
        <w:tc>
          <w:tcPr>
            <w:tcW w:w="1410" w:type="dxa"/>
            <w:noWrap w:val="0"/>
            <w:vAlign w:val="center"/>
          </w:tcPr>
          <w:p>
            <w:pPr>
              <w:adjustRightInd w:val="0"/>
              <w:snapToGrid w:val="0"/>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4010</w:t>
            </w:r>
          </w:p>
        </w:tc>
        <w:tc>
          <w:tcPr>
            <w:tcW w:w="3141" w:type="dxa"/>
            <w:noWrap w:val="0"/>
            <w:vAlign w:val="center"/>
          </w:tcPr>
          <w:p>
            <w:pPr>
              <w:adjustRightInd w:val="0"/>
              <w:snapToGrid w:val="0"/>
              <w:jc w:val="left"/>
              <w:rPr>
                <w:rFonts w:hint="eastAsia" w:ascii="Times New Roman" w:hAnsi="Times New Roman" w:eastAsia="宋体" w:cs="Times New Roman"/>
                <w:color w:val="000000"/>
                <w:sz w:val="24"/>
                <w:szCs w:val="24"/>
                <w:highlight w:val="none"/>
                <w:lang w:eastAsia="zh-CN"/>
              </w:rPr>
            </w:pPr>
            <w:r>
              <w:rPr>
                <w:rFonts w:hint="eastAsia" w:ascii="Times New Roman" w:hAnsi="Times New Roman" w:cs="Times New Roman"/>
                <w:color w:val="000000"/>
                <w:sz w:val="24"/>
                <w:szCs w:val="24"/>
                <w:highlight w:val="none"/>
                <w:lang w:eastAsia="zh-CN"/>
              </w:rPr>
              <w:t>转移支出</w:t>
            </w:r>
          </w:p>
        </w:tc>
        <w:tc>
          <w:tcPr>
            <w:tcW w:w="1452" w:type="dxa"/>
            <w:noWrap w:val="0"/>
            <w:vAlign w:val="center"/>
          </w:tcPr>
          <w:p>
            <w:pPr>
              <w:adjustRightInd w:val="0"/>
              <w:snapToGrid w:val="0"/>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2673" w:type="dxa"/>
            <w:noWrap w:val="0"/>
            <w:vAlign w:val="center"/>
          </w:tcPr>
          <w:p>
            <w:pPr>
              <w:adjustRightInd w:val="0"/>
              <w:snapToGrid w:val="0"/>
              <w:jc w:val="left"/>
              <w:rPr>
                <w:rFonts w:hint="eastAsia" w:ascii="Times New Roman" w:hAnsi="Times New Roman" w:cs="Times New Roman"/>
                <w:color w:val="000000"/>
                <w:sz w:val="24"/>
                <w:szCs w:val="24"/>
                <w:highlight w:val="none"/>
                <w:lang w:eastAsia="zh-CN"/>
              </w:rPr>
            </w:pPr>
            <w:r>
              <w:rPr>
                <w:rFonts w:hint="eastAsia" w:ascii="Times New Roman" w:hAnsi="Times New Roman" w:cs="Times New Roman"/>
                <w:color w:val="000000"/>
                <w:sz w:val="24"/>
                <w:szCs w:val="24"/>
                <w:highlight w:val="none"/>
                <w:lang w:eastAsia="zh-CN"/>
              </w:rPr>
              <w:t>转移收入</w:t>
            </w:r>
          </w:p>
        </w:tc>
        <w:tc>
          <w:tcPr>
            <w:tcW w:w="1410" w:type="dxa"/>
            <w:noWrap w:val="0"/>
            <w:vAlign w:val="center"/>
          </w:tcPr>
          <w:p>
            <w:pPr>
              <w:adjustRightInd w:val="0"/>
              <w:snapToGrid w:val="0"/>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543</w:t>
            </w:r>
          </w:p>
        </w:tc>
        <w:tc>
          <w:tcPr>
            <w:tcW w:w="3141" w:type="dxa"/>
            <w:noWrap w:val="0"/>
            <w:vAlign w:val="center"/>
          </w:tcPr>
          <w:p>
            <w:pPr>
              <w:adjustRightInd w:val="0"/>
              <w:snapToGrid w:val="0"/>
              <w:jc w:val="left"/>
              <w:rPr>
                <w:rFonts w:hint="eastAsia" w:ascii="Times New Roman" w:hAnsi="Times New Roman" w:cs="Times New Roman"/>
                <w:color w:val="000000"/>
                <w:sz w:val="24"/>
                <w:szCs w:val="24"/>
                <w:highlight w:val="none"/>
                <w:lang w:eastAsia="zh-CN"/>
              </w:rPr>
            </w:pPr>
          </w:p>
        </w:tc>
        <w:tc>
          <w:tcPr>
            <w:tcW w:w="1452" w:type="dxa"/>
            <w:noWrap w:val="0"/>
            <w:vAlign w:val="center"/>
          </w:tcPr>
          <w:p>
            <w:pPr>
              <w:adjustRightInd w:val="0"/>
              <w:snapToGrid w:val="0"/>
              <w:jc w:val="center"/>
              <w:rPr>
                <w:rFonts w:hint="default" w:ascii="Times New Roman" w:hAnsi="Times New Roman"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2673" w:type="dxa"/>
            <w:noWrap w:val="0"/>
            <w:vAlign w:val="center"/>
          </w:tcPr>
          <w:p>
            <w:pPr>
              <w:adjustRightInd w:val="0"/>
              <w:snapToGrid w:val="0"/>
              <w:jc w:val="center"/>
              <w:rPr>
                <w:rFonts w:hint="default" w:ascii="Times New Roman" w:hAnsi="Times New Roman" w:cs="Times New Roman"/>
                <w:color w:val="000000"/>
                <w:sz w:val="24"/>
                <w:szCs w:val="24"/>
                <w:highlight w:val="none"/>
              </w:rPr>
            </w:pPr>
            <w:r>
              <w:rPr>
                <w:rFonts w:hint="default" w:ascii="Times New Roman" w:hAnsi="Times New Roman" w:cs="Times New Roman"/>
                <w:b/>
                <w:bCs/>
                <w:color w:val="000000"/>
                <w:sz w:val="24"/>
                <w:szCs w:val="24"/>
                <w:highlight w:val="none"/>
              </w:rPr>
              <w:t>收入总计</w:t>
            </w:r>
          </w:p>
        </w:tc>
        <w:tc>
          <w:tcPr>
            <w:tcW w:w="1410" w:type="dxa"/>
            <w:noWrap w:val="0"/>
            <w:vAlign w:val="center"/>
          </w:tcPr>
          <w:p>
            <w:pPr>
              <w:adjustRightInd w:val="0"/>
              <w:snapToGrid w:val="0"/>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cs="Times New Roman"/>
                <w:b/>
                <w:bCs/>
                <w:color w:val="000000"/>
                <w:sz w:val="24"/>
                <w:szCs w:val="24"/>
                <w:highlight w:val="none"/>
                <w:lang w:val="en-US" w:eastAsia="zh-CN"/>
              </w:rPr>
              <w:t>8353</w:t>
            </w:r>
          </w:p>
        </w:tc>
        <w:tc>
          <w:tcPr>
            <w:tcW w:w="3141" w:type="dxa"/>
            <w:noWrap w:val="0"/>
            <w:vAlign w:val="center"/>
          </w:tcPr>
          <w:p>
            <w:pPr>
              <w:adjustRightInd w:val="0"/>
              <w:snapToGrid w:val="0"/>
              <w:jc w:val="center"/>
              <w:rPr>
                <w:rFonts w:hint="default" w:ascii="Times New Roman" w:hAnsi="Times New Roman" w:cs="Times New Roman"/>
                <w:color w:val="000000"/>
                <w:sz w:val="24"/>
                <w:szCs w:val="24"/>
                <w:highlight w:val="none"/>
              </w:rPr>
            </w:pPr>
            <w:r>
              <w:rPr>
                <w:rFonts w:hint="default" w:ascii="Times New Roman" w:hAnsi="Times New Roman" w:cs="Times New Roman"/>
                <w:b/>
                <w:bCs/>
                <w:color w:val="000000"/>
                <w:sz w:val="24"/>
                <w:szCs w:val="24"/>
                <w:highlight w:val="none"/>
              </w:rPr>
              <w:t>支出总计</w:t>
            </w:r>
          </w:p>
        </w:tc>
        <w:tc>
          <w:tcPr>
            <w:tcW w:w="1452" w:type="dxa"/>
            <w:noWrap w:val="0"/>
            <w:vAlign w:val="center"/>
          </w:tcPr>
          <w:p>
            <w:pPr>
              <w:adjustRightInd w:val="0"/>
              <w:snapToGrid w:val="0"/>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cs="Times New Roman"/>
                <w:b/>
                <w:bCs/>
                <w:color w:val="000000"/>
                <w:sz w:val="24"/>
                <w:szCs w:val="24"/>
                <w:highlight w:val="none"/>
                <w:lang w:val="en-US" w:eastAsia="zh-CN"/>
              </w:rPr>
              <w:t>8353</w:t>
            </w:r>
          </w:p>
        </w:tc>
      </w:tr>
    </w:tbl>
    <w:p>
      <w:pPr>
        <w:adjustRightInd w:val="0"/>
        <w:snapToGrid w:val="0"/>
        <w:spacing w:line="600" w:lineRule="exact"/>
        <w:ind w:firstLine="632" w:firstLineChars="200"/>
        <w:rPr>
          <w:rFonts w:ascii="Times New Roman" w:hAnsi="Times New Roman" w:eastAsia="仿宋_GB2312" w:cs="Times New Roman"/>
          <w:b/>
          <w:bCs/>
          <w:color w:val="000000"/>
        </w:rPr>
      </w:pPr>
      <w:r>
        <w:rPr>
          <w:rFonts w:ascii="Times New Roman" w:hAnsi="Times New Roman" w:eastAsia="仿宋_GB2312" w:cs="Times New Roman"/>
          <w:b/>
          <w:bCs/>
          <w:color w:val="000000"/>
        </w:rPr>
        <w:t>（</w:t>
      </w:r>
      <w:r>
        <w:rPr>
          <w:rFonts w:hint="eastAsia" w:ascii="Times New Roman" w:hAnsi="Times New Roman" w:eastAsia="仿宋_GB2312" w:cs="Times New Roman"/>
          <w:b/>
          <w:bCs/>
          <w:color w:val="000000"/>
          <w:lang w:eastAsia="zh-CN"/>
        </w:rPr>
        <w:t>五</w:t>
      </w:r>
      <w:r>
        <w:rPr>
          <w:rFonts w:ascii="Times New Roman" w:hAnsi="Times New Roman" w:eastAsia="仿宋_GB2312" w:cs="Times New Roman"/>
          <w:b/>
          <w:bCs/>
          <w:color w:val="000000"/>
        </w:rPr>
        <w:t>）</w:t>
      </w:r>
      <w:r>
        <w:rPr>
          <w:rFonts w:hint="eastAsia" w:ascii="Times New Roman" w:hAnsi="Times New Roman" w:eastAsia="仿宋_GB2312" w:cs="Times New Roman"/>
          <w:b/>
          <w:bCs/>
          <w:color w:val="000000"/>
        </w:rPr>
        <w:t>政府</w:t>
      </w:r>
      <w:r>
        <w:rPr>
          <w:rFonts w:ascii="Times New Roman" w:hAnsi="Times New Roman" w:eastAsia="仿宋_GB2312" w:cs="Times New Roman"/>
          <w:b/>
          <w:bCs/>
          <w:color w:val="000000"/>
        </w:rPr>
        <w:t>债务情况</w:t>
      </w:r>
    </w:p>
    <w:p>
      <w:pPr>
        <w:adjustRightInd w:val="0"/>
        <w:snapToGrid w:val="0"/>
        <w:spacing w:line="600" w:lineRule="exact"/>
        <w:ind w:firstLine="615"/>
        <w:rPr>
          <w:rFonts w:hint="eastAsia" w:ascii="仿宋_GB2312" w:hAnsi="Times New Roman" w:eastAsia="仿宋_GB2312" w:cs="Times New Roman"/>
          <w:lang w:val="en-US" w:eastAsia="zh-CN"/>
        </w:rPr>
      </w:pPr>
      <w:r>
        <w:rPr>
          <w:rFonts w:hint="eastAsia" w:ascii="仿宋_GB2312" w:hAnsi="Times New Roman" w:eastAsia="仿宋_GB2312" w:cs="Times New Roman"/>
          <w:lang w:val="en-US" w:eastAsia="zh-CN"/>
        </w:rPr>
        <w:t>当年新增本溪市高级中学附属学校建设项目一般债券1.5亿元，截至2021年底，全区地方政府性债务余额</w:t>
      </w:r>
      <w:r>
        <w:rPr>
          <w:rFonts w:hint="eastAsia" w:ascii="仿宋_GB2312" w:hAnsi="Times New Roman" w:eastAsia="仿宋_GB2312" w:cs="Times New Roman"/>
          <w:highlight w:val="none"/>
          <w:lang w:val="en-US" w:eastAsia="zh-CN"/>
        </w:rPr>
        <w:t>60902</w:t>
      </w:r>
      <w:r>
        <w:rPr>
          <w:rFonts w:hint="eastAsia" w:ascii="仿宋_GB2312" w:hAnsi="Times New Roman" w:eastAsia="仿宋_GB2312" w:cs="Times New Roman"/>
          <w:lang w:val="en-US" w:eastAsia="zh-CN"/>
        </w:rPr>
        <w:t>万元，控制在省政府核定我区的政府债务限额之内。其中：一般债务</w:t>
      </w:r>
      <w:r>
        <w:rPr>
          <w:rFonts w:hint="eastAsia" w:ascii="仿宋_GB2312" w:hAnsi="Times New Roman" w:eastAsia="仿宋_GB2312" w:cs="Times New Roman"/>
          <w:highlight w:val="none"/>
          <w:lang w:val="en-US" w:eastAsia="zh-CN"/>
        </w:rPr>
        <w:t>20975</w:t>
      </w:r>
      <w:r>
        <w:rPr>
          <w:rFonts w:hint="eastAsia" w:ascii="仿宋_GB2312" w:hAnsi="Times New Roman" w:eastAsia="仿宋_GB2312" w:cs="Times New Roman"/>
          <w:lang w:val="en-US" w:eastAsia="zh-CN"/>
        </w:rPr>
        <w:t>万元，专项债务</w:t>
      </w:r>
      <w:r>
        <w:rPr>
          <w:rFonts w:hint="eastAsia" w:ascii="仿宋_GB2312" w:hAnsi="Times New Roman" w:eastAsia="仿宋_GB2312" w:cs="Times New Roman"/>
          <w:highlight w:val="none"/>
          <w:lang w:val="en-US" w:eastAsia="zh-CN"/>
        </w:rPr>
        <w:t>39927</w:t>
      </w:r>
      <w:r>
        <w:rPr>
          <w:rFonts w:hint="eastAsia" w:ascii="仿宋_GB2312" w:hAnsi="Times New Roman" w:eastAsia="仿宋_GB2312" w:cs="Times New Roman"/>
          <w:lang w:val="en-US" w:eastAsia="zh-CN"/>
        </w:rPr>
        <w:t>万元。</w:t>
      </w:r>
    </w:p>
    <w:p>
      <w:pPr>
        <w:adjustRightInd w:val="0"/>
        <w:snapToGrid w:val="0"/>
        <w:spacing w:line="600" w:lineRule="exact"/>
        <w:ind w:firstLine="615"/>
        <w:rPr>
          <w:rFonts w:hint="eastAsia" w:ascii="仿宋_GB2312" w:hAnsi="Times New Roman" w:eastAsia="仿宋_GB2312" w:cs="Times New Roman"/>
          <w:lang w:val="en-US" w:eastAsia="zh-CN"/>
        </w:rPr>
      </w:pPr>
      <w:r>
        <w:rPr>
          <w:rFonts w:hint="eastAsia" w:ascii="仿宋_GB2312" w:hAnsi="Times New Roman" w:eastAsia="仿宋_GB2312" w:cs="Times New Roman"/>
          <w:lang w:val="en-US" w:eastAsia="zh-CN"/>
        </w:rPr>
        <w:t>需要说明的是，以上数据均为预计执行数，在决算编制汇总后将有所调整，届时我们将在年度决算报告中依法向区人大常委会报告。</w:t>
      </w:r>
    </w:p>
    <w:p>
      <w:pPr>
        <w:spacing w:line="600" w:lineRule="exact"/>
        <w:ind w:firstLine="632" w:firstLineChars="200"/>
        <w:rPr>
          <w:rFonts w:hint="eastAsia" w:ascii="黑体" w:hAnsi="黑体" w:eastAsia="黑体" w:cs="黑体"/>
        </w:rPr>
      </w:pPr>
      <w:r>
        <w:rPr>
          <w:rFonts w:eastAsia="黑体"/>
          <w:color w:val="000000"/>
        </w:rPr>
        <w:t>二、</w:t>
      </w:r>
      <w:r>
        <w:rPr>
          <w:rFonts w:ascii="黑体" w:hAnsi="黑体" w:eastAsia="黑体" w:cs="黑体"/>
        </w:rPr>
        <w:t>落实区人大预算决议情况</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default" w:ascii="仿宋_GB2312" w:eastAsia="仿宋_GB2312"/>
          <w:color w:val="000000"/>
          <w:lang w:val="en-US" w:eastAsia="zh-CN"/>
        </w:rPr>
      </w:pPr>
      <w:r>
        <w:rPr>
          <w:rFonts w:hint="default" w:ascii="仿宋_GB2312" w:hAnsi="Times New Roman" w:eastAsia="仿宋_GB2312" w:cs="Times New Roman"/>
          <w:lang w:val="en-US" w:eastAsia="zh-CN"/>
        </w:rPr>
        <w:t>20</w:t>
      </w:r>
      <w:r>
        <w:rPr>
          <w:rFonts w:hint="eastAsia" w:ascii="仿宋_GB2312" w:hAnsi="Times New Roman" w:eastAsia="仿宋_GB2312" w:cs="Times New Roman"/>
          <w:lang w:val="en-US" w:eastAsia="zh-CN"/>
        </w:rPr>
        <w:t>21年，紧紧围绕区委确定的中心工作，有效落实区九届人大四次会议决议的要求，主要工作和成效：</w:t>
      </w:r>
    </w:p>
    <w:p>
      <w:pPr>
        <w:numPr>
          <w:ilvl w:val="0"/>
          <w:numId w:val="0"/>
        </w:numPr>
        <w:spacing w:line="600" w:lineRule="exact"/>
        <w:ind w:firstLine="632" w:firstLineChars="200"/>
        <w:rPr>
          <w:rFonts w:hint="eastAsia" w:ascii="Times New Roman" w:hAnsi="Times New Roman" w:eastAsia="仿宋_GB2312" w:cs="Times New Roman"/>
          <w:b/>
          <w:bCs/>
          <w:color w:val="000000"/>
          <w:lang w:val="en-US" w:eastAsia="zh-CN"/>
        </w:rPr>
      </w:pPr>
      <w:r>
        <w:rPr>
          <w:rFonts w:hint="eastAsia" w:ascii="Times New Roman" w:hAnsi="Times New Roman" w:eastAsia="仿宋_GB2312" w:cs="Times New Roman"/>
          <w:b/>
          <w:bCs/>
          <w:color w:val="000000"/>
          <w:lang w:val="en-US" w:eastAsia="zh-CN"/>
        </w:rPr>
        <w:t>（一）财源建设多措并举，财政保障欣欣向荣</w:t>
      </w:r>
    </w:p>
    <w:p>
      <w:pPr>
        <w:numPr>
          <w:ilvl w:val="0"/>
          <w:numId w:val="0"/>
        </w:numPr>
        <w:spacing w:line="600" w:lineRule="exact"/>
        <w:ind w:firstLine="632" w:firstLineChars="200"/>
        <w:rPr>
          <w:rFonts w:hint="default" w:eastAsia="仿宋_GB2312"/>
          <w:b/>
          <w:bCs/>
          <w:color w:val="000000"/>
          <w:lang w:val="en-US" w:eastAsia="zh-CN"/>
        </w:rPr>
      </w:pPr>
      <w:r>
        <w:rPr>
          <w:rFonts w:hint="eastAsia" w:eastAsia="仿宋_GB2312"/>
          <w:b/>
          <w:bCs/>
          <w:color w:val="000000"/>
        </w:rPr>
        <w:t>一是</w:t>
      </w:r>
      <w:r>
        <w:rPr>
          <w:rFonts w:hint="eastAsia" w:eastAsia="仿宋_GB2312"/>
          <w:b/>
          <w:bCs/>
          <w:color w:val="000000"/>
          <w:lang w:val="en-US" w:eastAsia="zh-CN"/>
        </w:rPr>
        <w:t>提质增量，</w:t>
      </w:r>
      <w:r>
        <w:rPr>
          <w:rFonts w:hint="eastAsia" w:eastAsia="仿宋_GB2312"/>
          <w:b/>
          <w:bCs/>
          <w:color w:val="000000"/>
          <w:lang w:eastAsia="zh-CN"/>
        </w:rPr>
        <w:t>促</w:t>
      </w:r>
      <w:r>
        <w:rPr>
          <w:rFonts w:hint="eastAsia" w:eastAsia="仿宋_GB2312"/>
          <w:b/>
          <w:bCs/>
          <w:color w:val="000000"/>
          <w:lang w:val="en-US" w:eastAsia="zh-CN"/>
        </w:rPr>
        <w:t>进</w:t>
      </w:r>
      <w:r>
        <w:rPr>
          <w:rFonts w:hint="eastAsia" w:eastAsia="仿宋_GB2312"/>
          <w:b/>
          <w:bCs/>
          <w:color w:val="000000"/>
          <w:lang w:eastAsia="zh-CN"/>
        </w:rPr>
        <w:t>财源</w:t>
      </w:r>
      <w:r>
        <w:rPr>
          <w:rFonts w:hint="eastAsia" w:eastAsia="仿宋_GB2312"/>
          <w:b/>
          <w:bCs/>
          <w:color w:val="000000"/>
          <w:lang w:val="en-US" w:eastAsia="zh-CN"/>
        </w:rPr>
        <w:t>增收</w:t>
      </w:r>
      <w:r>
        <w:rPr>
          <w:rFonts w:hint="eastAsia" w:eastAsia="仿宋_GB2312"/>
          <w:b/>
          <w:bCs/>
          <w:color w:val="000000"/>
        </w:rPr>
        <w:t>。</w:t>
      </w:r>
      <w:r>
        <w:rPr>
          <w:rFonts w:hint="eastAsia" w:eastAsia="仿宋_GB2312"/>
          <w:color w:val="000000"/>
          <w:lang w:val="en-US" w:eastAsia="zh-CN"/>
        </w:rPr>
        <w:t>强化</w:t>
      </w:r>
      <w:r>
        <w:rPr>
          <w:rFonts w:hint="eastAsia" w:eastAsia="仿宋_GB2312"/>
          <w:color w:val="000000"/>
          <w:lang w:eastAsia="zh-CN"/>
        </w:rPr>
        <w:t>区级</w:t>
      </w:r>
      <w:r>
        <w:rPr>
          <w:rFonts w:hint="eastAsia" w:eastAsia="仿宋_GB2312"/>
          <w:color w:val="000000"/>
        </w:rPr>
        <w:t>税种</w:t>
      </w:r>
      <w:r>
        <w:rPr>
          <w:rFonts w:eastAsia="仿宋_GB2312"/>
          <w:color w:val="000000"/>
        </w:rPr>
        <w:t>增收，</w:t>
      </w:r>
      <w:r>
        <w:rPr>
          <w:rFonts w:hint="eastAsia" w:eastAsia="仿宋_GB2312"/>
          <w:color w:val="000000"/>
          <w:lang w:val="en-US" w:eastAsia="zh-CN"/>
        </w:rPr>
        <w:t>深度挖掘税种增收潜力，</w:t>
      </w:r>
      <w:r>
        <w:rPr>
          <w:rFonts w:eastAsia="仿宋_GB2312"/>
          <w:color w:val="000000"/>
        </w:rPr>
        <w:t>确保应收尽收</w:t>
      </w:r>
      <w:r>
        <w:rPr>
          <w:rFonts w:hint="eastAsia" w:eastAsia="仿宋_GB2312"/>
          <w:color w:val="000000"/>
        </w:rPr>
        <w:t>，积</w:t>
      </w:r>
      <w:r>
        <w:rPr>
          <w:rFonts w:eastAsia="仿宋_GB2312"/>
          <w:color w:val="000000"/>
        </w:rPr>
        <w:t>极</w:t>
      </w:r>
      <w:r>
        <w:rPr>
          <w:rFonts w:hint="eastAsia" w:eastAsia="仿宋_GB2312"/>
          <w:color w:val="000000"/>
        </w:rPr>
        <w:t>争取</w:t>
      </w:r>
      <w:r>
        <w:rPr>
          <w:rFonts w:eastAsia="仿宋_GB2312"/>
          <w:color w:val="000000"/>
        </w:rPr>
        <w:t>上级财政</w:t>
      </w:r>
      <w:r>
        <w:rPr>
          <w:rFonts w:hint="eastAsia" w:eastAsia="仿宋_GB2312"/>
          <w:color w:val="000000"/>
        </w:rPr>
        <w:t>资金，统筹</w:t>
      </w:r>
      <w:r>
        <w:rPr>
          <w:rFonts w:hint="eastAsia" w:eastAsia="仿宋_GB2312"/>
          <w:color w:val="000000"/>
          <w:lang w:eastAsia="zh-CN"/>
        </w:rPr>
        <w:t>新体制下放企业税收收入，</w:t>
      </w:r>
      <w:r>
        <w:rPr>
          <w:rFonts w:hint="eastAsia" w:eastAsia="仿宋_GB2312"/>
          <w:color w:val="000000"/>
        </w:rPr>
        <w:t>对</w:t>
      </w:r>
      <w:r>
        <w:rPr>
          <w:rFonts w:hint="eastAsia" w:eastAsia="仿宋_GB2312"/>
          <w:color w:val="000000"/>
          <w:lang w:val="en-US" w:eastAsia="zh-CN"/>
        </w:rPr>
        <w:t>于</w:t>
      </w:r>
      <w:r>
        <w:rPr>
          <w:rFonts w:hint="eastAsia" w:eastAsia="仿宋_GB2312"/>
          <w:color w:val="000000"/>
        </w:rPr>
        <w:t>闲置资产</w:t>
      </w:r>
      <w:r>
        <w:rPr>
          <w:rFonts w:hint="eastAsia" w:eastAsia="仿宋_GB2312"/>
          <w:color w:val="000000"/>
          <w:lang w:eastAsia="zh-CN"/>
        </w:rPr>
        <w:t>、存量资金，</w:t>
      </w:r>
      <w:r>
        <w:rPr>
          <w:rFonts w:hint="eastAsia" w:eastAsia="仿宋_GB2312"/>
          <w:color w:val="000000"/>
          <w:lang w:val="en-US" w:eastAsia="zh-CN"/>
        </w:rPr>
        <w:t>加大</w:t>
      </w:r>
      <w:r>
        <w:rPr>
          <w:rFonts w:hint="eastAsia" w:eastAsia="仿宋_GB2312"/>
          <w:color w:val="000000"/>
        </w:rPr>
        <w:t>盘活力度，</w:t>
      </w:r>
      <w:r>
        <w:rPr>
          <w:rFonts w:hint="eastAsia" w:eastAsia="仿宋_GB2312"/>
          <w:color w:val="000000"/>
          <w:lang w:val="en-US" w:eastAsia="zh-CN"/>
        </w:rPr>
        <w:t>立足源头治理</w:t>
      </w:r>
      <w:r>
        <w:rPr>
          <w:rFonts w:hint="eastAsia" w:ascii="仿宋_GB2312" w:hAnsi="宋体" w:eastAsia="仿宋_GB2312"/>
          <w:sz w:val="32"/>
          <w:szCs w:val="32"/>
        </w:rPr>
        <w:t>，</w:t>
      </w:r>
      <w:r>
        <w:rPr>
          <w:rFonts w:hint="eastAsia" w:ascii="仿宋_GB2312" w:hAnsi="宋体" w:eastAsia="仿宋_GB2312"/>
          <w:sz w:val="32"/>
          <w:szCs w:val="32"/>
          <w:lang w:eastAsia="zh-CN"/>
        </w:rPr>
        <w:t>促进我区财源增收。</w:t>
      </w:r>
      <w:r>
        <w:rPr>
          <w:rFonts w:hint="eastAsia" w:ascii="仿宋_GB2312" w:hAnsi="宋体" w:eastAsia="仿宋_GB2312"/>
          <w:sz w:val="32"/>
          <w:szCs w:val="32"/>
          <w:highlight w:val="none"/>
          <w:lang w:eastAsia="zh-CN"/>
        </w:rPr>
        <w:t>今年</w:t>
      </w:r>
      <w:r>
        <w:rPr>
          <w:rFonts w:hint="eastAsia" w:ascii="仿宋_GB2312" w:hAnsi="宋体" w:eastAsia="仿宋_GB2312"/>
          <w:sz w:val="32"/>
          <w:szCs w:val="32"/>
          <w:highlight w:val="none"/>
          <w:lang w:val="en-US" w:eastAsia="zh-CN"/>
        </w:rPr>
        <w:t>市级下放企业形成的地方税收收入全部纳入区级国库，龙山泉、富虹房地产收入较大，宇航矿业、东方三家子矿业等税收大幅增加，全区收入涨幅明显，全年下划企业实现区级收入为1.3亿元。</w:t>
      </w:r>
      <w:r>
        <w:rPr>
          <w:rFonts w:hint="eastAsia" w:eastAsia="仿宋_GB2312"/>
          <w:b/>
          <w:bCs/>
          <w:color w:val="000000"/>
          <w:lang w:eastAsia="zh-CN"/>
        </w:rPr>
        <w:t>二是扶持项目，</w:t>
      </w:r>
      <w:r>
        <w:rPr>
          <w:rFonts w:hint="eastAsia" w:eastAsia="仿宋_GB2312"/>
          <w:b/>
          <w:bCs/>
          <w:color w:val="000000"/>
          <w:lang w:val="en-US" w:eastAsia="zh-CN"/>
        </w:rPr>
        <w:t>强化税源征收</w:t>
      </w:r>
      <w:r>
        <w:rPr>
          <w:rFonts w:hint="eastAsia" w:eastAsia="仿宋_GB2312"/>
          <w:b/>
          <w:bCs/>
          <w:color w:val="000000"/>
          <w:lang w:eastAsia="zh-CN"/>
        </w:rPr>
        <w:t>。</w:t>
      </w:r>
      <w:r>
        <w:rPr>
          <w:rFonts w:hint="eastAsia" w:eastAsia="仿宋_GB2312"/>
          <w:b w:val="0"/>
          <w:bCs w:val="0"/>
          <w:color w:val="000000"/>
          <w:lang w:val="en-US" w:eastAsia="zh-CN"/>
        </w:rPr>
        <w:t>持续推进产业发展，助力新兴产业，为我区产业发展打开新局面，全年</w:t>
      </w:r>
      <w:r>
        <w:rPr>
          <w:rFonts w:hint="eastAsia" w:ascii="仿宋_GB2312" w:hAnsi="仿宋_GB2312" w:eastAsia="仿宋_GB2312" w:cs="仿宋_GB2312"/>
          <w:sz w:val="32"/>
          <w:szCs w:val="32"/>
          <w:lang w:val="en-US" w:eastAsia="zh-CN"/>
        </w:rPr>
        <w:t>争取上级专项资金125万元为华日高新材料、康顿门业、雷龙商贸、茂森电子、利亚木业、晟恒精线等企业进行产品境外展览开拓国际市场，</w:t>
      </w:r>
      <w:r>
        <w:rPr>
          <w:rFonts w:hint="eastAsia" w:eastAsia="仿宋_GB2312"/>
          <w:b w:val="0"/>
          <w:bCs w:val="0"/>
          <w:color w:val="000000"/>
          <w:lang w:val="en-US" w:eastAsia="zh-CN"/>
        </w:rPr>
        <w:t>全力为扶持项目提供政策资金保障，同时，强化营商环境建设，力争为项目发展提供优质的政务服务，保证新兴产业有足够的发展空间。</w:t>
      </w:r>
      <w:r>
        <w:rPr>
          <w:rFonts w:hint="eastAsia" w:eastAsia="仿宋_GB2312"/>
          <w:b/>
          <w:bCs/>
          <w:color w:val="000000"/>
          <w:lang w:eastAsia="zh-CN"/>
        </w:rPr>
        <w:t>三是落实政策，</w:t>
      </w:r>
      <w:r>
        <w:rPr>
          <w:rFonts w:hint="eastAsia" w:eastAsia="仿宋_GB2312"/>
          <w:b/>
          <w:bCs/>
          <w:color w:val="000000"/>
          <w:lang w:val="en-US" w:eastAsia="zh-CN"/>
        </w:rPr>
        <w:t>注入源头活水</w:t>
      </w:r>
      <w:r>
        <w:rPr>
          <w:rFonts w:hint="eastAsia" w:eastAsia="仿宋_GB2312"/>
          <w:b/>
          <w:bCs/>
          <w:color w:val="000000"/>
          <w:lang w:eastAsia="zh-CN"/>
        </w:rPr>
        <w:t>。</w:t>
      </w:r>
      <w:r>
        <w:rPr>
          <w:rFonts w:hint="eastAsia" w:ascii="Times New Roman" w:hAnsi="Times New Roman" w:eastAsia="仿宋_GB2312" w:cs="Times New Roman"/>
          <w:sz w:val="32"/>
          <w:szCs w:val="32"/>
          <w:lang w:eastAsia="zh-CN"/>
        </w:rPr>
        <w:t>贯彻落实减税降费政策，严格执行</w:t>
      </w:r>
      <w:r>
        <w:rPr>
          <w:rFonts w:hint="eastAsia" w:ascii="仿宋_GB2312" w:hAnsi="仿宋_GB2312" w:eastAsia="仿宋_GB2312" w:cs="仿宋_GB2312"/>
          <w:sz w:val="32"/>
          <w:szCs w:val="32"/>
          <w:lang w:val="en-US" w:eastAsia="zh-CN"/>
        </w:rPr>
        <w:t>国家出台的一系列应对疫情对企业的帮扶政策、税收优惠等政策，减轻企业负担，激发市场活力，培育我区财源，全年预计新增全口径减税降费1.6亿元，为部分企业办理全口径缓税近1亿元。</w:t>
      </w:r>
    </w:p>
    <w:p>
      <w:pPr>
        <w:numPr>
          <w:ilvl w:val="0"/>
          <w:numId w:val="0"/>
        </w:numPr>
        <w:spacing w:line="600" w:lineRule="exact"/>
        <w:ind w:firstLine="632" w:firstLineChars="200"/>
        <w:rPr>
          <w:rFonts w:hint="default" w:ascii="Times New Roman" w:hAnsi="Times New Roman" w:eastAsia="仿宋_GB2312" w:cs="Times New Roman"/>
          <w:b/>
          <w:bCs/>
          <w:color w:val="000000"/>
          <w:lang w:val="en-US" w:eastAsia="zh-CN"/>
        </w:rPr>
      </w:pPr>
      <w:r>
        <w:rPr>
          <w:rFonts w:hint="eastAsia" w:ascii="Times New Roman" w:hAnsi="Times New Roman" w:eastAsia="仿宋_GB2312" w:cs="Times New Roman"/>
          <w:b/>
          <w:bCs/>
          <w:color w:val="000000"/>
          <w:lang w:val="en-US" w:eastAsia="zh-CN"/>
        </w:rPr>
        <w:t>（二）支出结构逐步优化，民生保障有力有效</w:t>
      </w:r>
    </w:p>
    <w:p>
      <w:pPr>
        <w:spacing w:line="560" w:lineRule="exact"/>
        <w:ind w:firstLine="640"/>
        <w:jc w:val="left"/>
        <w:rPr>
          <w:rFonts w:hint="eastAsia" w:eastAsia="仿宋_GB2312"/>
          <w:b w:val="0"/>
          <w:bCs w:val="0"/>
          <w:color w:val="auto"/>
          <w:sz w:val="32"/>
          <w:szCs w:val="32"/>
          <w:lang w:val="en-US" w:eastAsia="zh-CN"/>
        </w:rPr>
      </w:pPr>
      <w:r>
        <w:rPr>
          <w:rFonts w:hint="eastAsia" w:eastAsia="仿宋_GB2312"/>
          <w:b/>
          <w:bCs/>
          <w:color w:val="auto"/>
          <w:sz w:val="32"/>
          <w:szCs w:val="32"/>
          <w:lang w:val="en-US" w:eastAsia="zh-CN"/>
        </w:rPr>
        <w:t>一是强化重点支出。</w:t>
      </w:r>
      <w:r>
        <w:rPr>
          <w:rFonts w:hint="eastAsia" w:eastAsia="仿宋_GB2312"/>
          <w:b w:val="0"/>
          <w:bCs w:val="0"/>
          <w:color w:val="auto"/>
          <w:sz w:val="32"/>
          <w:szCs w:val="32"/>
          <w:lang w:val="en-US" w:eastAsia="zh-CN"/>
        </w:rPr>
        <w:t>加快财政支出进度，强化重点领域支出保障，切实提高资金使用效益</w:t>
      </w:r>
      <w:r>
        <w:rPr>
          <w:rFonts w:hint="eastAsia" w:eastAsia="仿宋_GB2312"/>
          <w:b/>
          <w:bCs/>
          <w:color w:val="auto"/>
          <w:sz w:val="32"/>
          <w:szCs w:val="32"/>
          <w:lang w:val="en-US" w:eastAsia="zh-CN"/>
        </w:rPr>
        <w:t>，</w:t>
      </w:r>
      <w:r>
        <w:rPr>
          <w:rFonts w:hint="eastAsia" w:ascii="仿宋_GB2312" w:hAnsi="仿宋_GB2312" w:eastAsia="仿宋_GB2312"/>
          <w:sz w:val="32"/>
          <w:szCs w:val="32"/>
        </w:rPr>
        <w:t>将</w:t>
      </w:r>
      <w:r>
        <w:rPr>
          <w:rFonts w:hint="eastAsia" w:ascii="仿宋_GB2312" w:hAnsi="仿宋_GB2312" w:eastAsia="仿宋_GB2312" w:cs="仿宋_GB2312"/>
          <w:sz w:val="32"/>
          <w:szCs w:val="32"/>
        </w:rPr>
        <w:t>“保工资，</w:t>
      </w:r>
      <w:r>
        <w:rPr>
          <w:rFonts w:hint="eastAsia" w:ascii="仿宋_GB2312" w:hAnsi="仿宋_GB2312" w:eastAsia="仿宋_GB2312" w:cs="仿宋_GB2312"/>
          <w:sz w:val="32"/>
          <w:szCs w:val="32"/>
          <w:lang w:val="en-US" w:eastAsia="zh-CN"/>
        </w:rPr>
        <w:t>保运转，保民生。</w:t>
      </w:r>
      <w:r>
        <w:rPr>
          <w:rFonts w:hint="eastAsia" w:ascii="仿宋_GB2312" w:hAnsi="仿宋_GB2312" w:eastAsia="仿宋_GB2312" w:cs="仿宋_GB2312"/>
          <w:sz w:val="32"/>
          <w:szCs w:val="32"/>
        </w:rPr>
        <w:t>”</w:t>
      </w:r>
      <w:r>
        <w:rPr>
          <w:rFonts w:hint="eastAsia" w:ascii="仿宋_GB2312" w:hAnsi="仿宋_GB2312" w:eastAsia="仿宋_GB2312"/>
          <w:sz w:val="32"/>
          <w:szCs w:val="32"/>
        </w:rPr>
        <w:t>作为重点，</w:t>
      </w:r>
      <w:r>
        <w:rPr>
          <w:rFonts w:ascii="仿宋_GB2312" w:hAnsi="仿宋_GB2312" w:eastAsia="仿宋_GB2312"/>
          <w:sz w:val="32"/>
          <w:szCs w:val="32"/>
        </w:rPr>
        <w:t>大力压缩</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三公经费</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严控</w:t>
      </w:r>
      <w:r>
        <w:rPr>
          <w:rFonts w:ascii="仿宋_GB2312" w:hAnsi="仿宋_GB2312" w:eastAsia="仿宋_GB2312"/>
          <w:sz w:val="32"/>
          <w:szCs w:val="32"/>
        </w:rPr>
        <w:t>一般性支出，</w:t>
      </w:r>
      <w:r>
        <w:rPr>
          <w:rFonts w:hint="eastAsia" w:ascii="仿宋_GB2312" w:hAnsi="仿宋_GB2312" w:eastAsia="仿宋_GB2312"/>
          <w:sz w:val="32"/>
          <w:szCs w:val="32"/>
          <w:lang w:val="en-US" w:eastAsia="zh-CN"/>
        </w:rPr>
        <w:t>牢牢把握政府预算这一源头管控环节，</w:t>
      </w:r>
      <w:r>
        <w:rPr>
          <w:rFonts w:ascii="仿宋_GB2312" w:hAnsi="仿宋_GB2312" w:eastAsia="仿宋_GB2312"/>
          <w:sz w:val="32"/>
          <w:szCs w:val="32"/>
        </w:rPr>
        <w:t>努力降低行政运行成本。</w:t>
      </w:r>
      <w:r>
        <w:rPr>
          <w:rFonts w:hint="eastAsia" w:ascii="仿宋_GB2312" w:hAnsi="仿宋_GB2312" w:eastAsia="仿宋_GB2312"/>
          <w:sz w:val="32"/>
          <w:szCs w:val="32"/>
          <w:lang w:val="en-US" w:eastAsia="zh-CN"/>
        </w:rPr>
        <w:t>集中财力用于</w:t>
      </w:r>
      <w:r>
        <w:rPr>
          <w:rFonts w:hint="eastAsia" w:eastAsia="仿宋_GB2312"/>
          <w:color w:val="auto"/>
          <w:sz w:val="32"/>
          <w:szCs w:val="32"/>
          <w:lang w:val="en-US" w:eastAsia="zh-CN"/>
        </w:rPr>
        <w:t>全区重大战略部署和重点支出。</w:t>
      </w:r>
      <w:r>
        <w:rPr>
          <w:rFonts w:hint="eastAsia" w:eastAsia="仿宋_GB2312"/>
          <w:b/>
          <w:bCs/>
          <w:color w:val="auto"/>
          <w:sz w:val="32"/>
          <w:szCs w:val="32"/>
          <w:lang w:val="en-US" w:eastAsia="zh-CN"/>
        </w:rPr>
        <w:t>二是加大民生支出。</w:t>
      </w:r>
      <w:r>
        <w:rPr>
          <w:rFonts w:hint="eastAsia" w:ascii="仿宋_GB2312" w:hAnsi="仿宋_GB2312" w:eastAsia="仿宋_GB2312"/>
          <w:b w:val="0"/>
          <w:bCs/>
          <w:sz w:val="32"/>
          <w:szCs w:val="32"/>
          <w:highlight w:val="none"/>
          <w:lang w:eastAsia="zh-CN"/>
        </w:rPr>
        <w:t>加快中央特殊转移支付和特别国债资金使用进度，投入用于疫情防控、困难群众救助以及援企稳岗等方面。</w:t>
      </w:r>
      <w:r>
        <w:rPr>
          <w:rFonts w:hint="eastAsia" w:ascii="仿宋_GB2312" w:hAnsi="仿宋" w:eastAsia="仿宋_GB2312"/>
          <w:color w:val="auto"/>
          <w:sz w:val="32"/>
          <w:szCs w:val="32"/>
          <w:highlight w:val="none"/>
          <w:lang w:val="en-US" w:eastAsia="zh-CN"/>
        </w:rPr>
        <w:t>以“</w:t>
      </w:r>
      <w:r>
        <w:rPr>
          <w:rFonts w:hint="eastAsia" w:ascii="仿宋_GB2312" w:hAnsi="仿宋" w:eastAsia="仿宋_GB2312"/>
          <w:color w:val="auto"/>
          <w:sz w:val="32"/>
          <w:szCs w:val="32"/>
          <w:lang w:val="en-US" w:eastAsia="zh-CN"/>
        </w:rPr>
        <w:t>六保”促“六稳”</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坚持尽力而为、量力而行，逐步提升保障和改善民生水平。在预算安排上优先保障民生支出，对上级出台的民生政策做到应保尽保，</w:t>
      </w:r>
      <w:r>
        <w:rPr>
          <w:rFonts w:hint="eastAsia" w:ascii="仿宋_GB2312" w:hAnsi="仿宋" w:eastAsia="仿宋_GB2312"/>
          <w:color w:val="auto"/>
          <w:sz w:val="32"/>
          <w:szCs w:val="32"/>
          <w:lang w:eastAsia="zh-CN"/>
        </w:rPr>
        <w:t>不断把为人民造福事业推向前进</w:t>
      </w:r>
      <w:r>
        <w:rPr>
          <w:rFonts w:hint="eastAsia" w:ascii="仿宋_GB2312" w:hAnsi="仿宋_GB2312" w:eastAsia="仿宋_GB2312"/>
          <w:b w:val="0"/>
          <w:bCs/>
          <w:sz w:val="32"/>
          <w:szCs w:val="32"/>
          <w:highlight w:val="none"/>
          <w:lang w:eastAsia="zh-CN"/>
        </w:rPr>
        <w:t>，全年民生支出预计为</w:t>
      </w:r>
      <w:r>
        <w:rPr>
          <w:rFonts w:hint="eastAsia" w:ascii="仿宋_GB2312" w:hAnsi="仿宋_GB2312" w:eastAsia="仿宋_GB2312"/>
          <w:b w:val="0"/>
          <w:bCs/>
          <w:sz w:val="32"/>
          <w:szCs w:val="32"/>
          <w:highlight w:val="none"/>
          <w:lang w:val="en-US" w:eastAsia="zh-CN"/>
        </w:rPr>
        <w:t>30171万元，占一般公共预算支出比重为34.5%。</w:t>
      </w:r>
      <w:r>
        <w:rPr>
          <w:rFonts w:hint="eastAsia" w:eastAsia="仿宋_GB2312"/>
          <w:b/>
          <w:bCs/>
          <w:color w:val="auto"/>
          <w:sz w:val="32"/>
          <w:szCs w:val="32"/>
          <w:lang w:val="en-US" w:eastAsia="zh-CN"/>
        </w:rPr>
        <w:t>三是实施绩效管理。</w:t>
      </w:r>
      <w:r>
        <w:rPr>
          <w:rFonts w:hint="eastAsia" w:eastAsia="仿宋_GB2312"/>
          <w:b w:val="0"/>
          <w:bCs w:val="0"/>
          <w:color w:val="auto"/>
          <w:sz w:val="32"/>
          <w:szCs w:val="32"/>
          <w:lang w:val="en-US" w:eastAsia="zh-CN"/>
        </w:rPr>
        <w:t>成立预算绩效管理小组，确立专人负责预算绩效管理工作并由单位主要领导担任组长，明确预算绩效管理责任，规范预算绩效管理流程。深化政府预算为民服务的理念，强调预算支出的责任和效率，强化支出责任，优化资源配置，进一步提高预算管理水平和财政资金使用效益。</w:t>
      </w:r>
    </w:p>
    <w:p>
      <w:pPr>
        <w:widowControl/>
        <w:numPr>
          <w:ilvl w:val="0"/>
          <w:numId w:val="0"/>
        </w:numPr>
        <w:spacing w:line="600" w:lineRule="exact"/>
        <w:ind w:leftChars="200"/>
        <w:rPr>
          <w:rFonts w:hint="eastAsia"/>
        </w:rPr>
      </w:pPr>
      <w:r>
        <w:rPr>
          <w:rFonts w:hint="eastAsia" w:ascii="Times New Roman" w:hAnsi="Times New Roman" w:eastAsia="仿宋_GB2312" w:cs="Times New Roman"/>
          <w:b/>
          <w:bCs/>
          <w:color w:val="auto"/>
          <w:sz w:val="32"/>
          <w:szCs w:val="32"/>
          <w:lang w:val="en-US" w:eastAsia="zh-CN"/>
        </w:rPr>
        <w:t>（三）</w:t>
      </w:r>
      <w:r>
        <w:rPr>
          <w:rFonts w:hint="eastAsia" w:ascii="Times New Roman" w:hAnsi="Times New Roman" w:eastAsia="仿宋_GB2312" w:cs="Times New Roman"/>
          <w:b/>
          <w:bCs/>
          <w:color w:val="auto"/>
          <w:sz w:val="32"/>
          <w:szCs w:val="32"/>
          <w:lang w:val="zh-CN" w:eastAsia="zh-CN"/>
        </w:rPr>
        <w:t>着力健全管理机制</w:t>
      </w:r>
      <w:r>
        <w:rPr>
          <w:rFonts w:hint="eastAsia" w:ascii="Times New Roman" w:hAnsi="Times New Roman" w:eastAsia="仿宋_GB2312" w:cs="Times New Roman"/>
          <w:b/>
          <w:bCs/>
          <w:color w:val="auto"/>
          <w:sz w:val="32"/>
          <w:szCs w:val="32"/>
          <w:lang w:val="en-US" w:eastAsia="zh-CN"/>
        </w:rPr>
        <w:t>，工作开展稳中求进</w:t>
      </w:r>
    </w:p>
    <w:p>
      <w:pPr>
        <w:ind w:firstLine="632" w:firstLineChars="200"/>
        <w:rPr>
          <w:rFonts w:hint="eastAsia" w:ascii="仿宋_GB2312" w:hAnsi="仿宋_GB2312" w:eastAsia="仿宋_GB2312" w:cs="仿宋_GB2312"/>
          <w:sz w:val="32"/>
          <w:szCs w:val="32"/>
        </w:rPr>
      </w:pPr>
      <w:r>
        <w:rPr>
          <w:rFonts w:hint="eastAsia" w:ascii="Times New Roman" w:eastAsia="仿宋_GB2312"/>
          <w:b/>
          <w:sz w:val="32"/>
          <w:szCs w:val="32"/>
        </w:rPr>
        <w:t>一是</w:t>
      </w:r>
      <w:r>
        <w:rPr>
          <w:rFonts w:hint="eastAsia" w:ascii="Times New Roman" w:eastAsia="仿宋_GB2312"/>
          <w:b/>
          <w:sz w:val="32"/>
          <w:szCs w:val="32"/>
          <w:lang w:eastAsia="zh-CN"/>
        </w:rPr>
        <w:t>建立法治思维，提升依法理财水平。</w:t>
      </w:r>
      <w:r>
        <w:rPr>
          <w:rFonts w:hint="eastAsia" w:ascii="Times New Roman" w:eastAsia="仿宋_GB2312"/>
          <w:sz w:val="32"/>
          <w:szCs w:val="32"/>
        </w:rPr>
        <w:t>认真贯彻落实《预算法》</w:t>
      </w:r>
      <w:r>
        <w:rPr>
          <w:rFonts w:hint="eastAsia" w:ascii="Times New Roman" w:eastAsia="仿宋_GB2312"/>
          <w:sz w:val="32"/>
          <w:szCs w:val="32"/>
          <w:lang w:eastAsia="zh-CN"/>
        </w:rPr>
        <w:t>及《中华人民共和国预算法实施条例》</w:t>
      </w:r>
      <w:r>
        <w:rPr>
          <w:rFonts w:hint="eastAsia" w:ascii="Times New Roman" w:eastAsia="仿宋_GB2312"/>
          <w:sz w:val="32"/>
          <w:szCs w:val="32"/>
        </w:rPr>
        <w:t>，牢固树立法治理念，提升依法理财水平。严格预算编制流程，加强预算支出执行。</w:t>
      </w:r>
      <w:r>
        <w:rPr>
          <w:rFonts w:hint="eastAsia" w:ascii="Times New Roman" w:eastAsia="仿宋_GB2312"/>
          <w:b/>
          <w:sz w:val="32"/>
          <w:szCs w:val="32"/>
        </w:rPr>
        <w:t>二是</w:t>
      </w:r>
      <w:r>
        <w:rPr>
          <w:rFonts w:hint="eastAsia" w:ascii="Times New Roman" w:eastAsia="仿宋_GB2312"/>
          <w:b/>
          <w:sz w:val="32"/>
          <w:szCs w:val="32"/>
          <w:lang w:val="en-US" w:eastAsia="zh-CN"/>
        </w:rPr>
        <w:t>规范债务管理</w:t>
      </w:r>
      <w:r>
        <w:rPr>
          <w:rFonts w:hint="eastAsia" w:ascii="Times New Roman" w:eastAsia="仿宋_GB2312"/>
          <w:b/>
          <w:sz w:val="32"/>
          <w:szCs w:val="32"/>
          <w:lang w:eastAsia="zh-CN"/>
        </w:rPr>
        <w:t>，</w:t>
      </w:r>
      <w:r>
        <w:rPr>
          <w:rFonts w:hint="eastAsia" w:ascii="Times New Roman" w:eastAsia="仿宋_GB2312"/>
          <w:b/>
          <w:sz w:val="32"/>
          <w:szCs w:val="32"/>
          <w:lang w:val="en-US" w:eastAsia="zh-CN"/>
        </w:rPr>
        <w:t>积极化解债务风险</w:t>
      </w:r>
      <w:r>
        <w:rPr>
          <w:rFonts w:hint="eastAsia" w:ascii="Times New Roman" w:eastAsia="仿宋_GB2312"/>
          <w:b/>
          <w:sz w:val="32"/>
          <w:szCs w:val="32"/>
          <w:lang w:eastAsia="zh-CN"/>
        </w:rPr>
        <w:t>。</w:t>
      </w:r>
      <w:r>
        <w:rPr>
          <w:rFonts w:hint="eastAsia" w:ascii="仿宋_GB2312" w:hAnsi="仿宋_GB2312" w:eastAsia="仿宋_GB2312"/>
          <w:sz w:val="32"/>
          <w:szCs w:val="32"/>
        </w:rPr>
        <w:t>严格履行审批程序</w:t>
      </w:r>
      <w:r>
        <w:rPr>
          <w:rFonts w:hint="eastAsia" w:ascii="仿宋_GB2312" w:hAnsi="仿宋_GB2312" w:eastAsia="仿宋_GB2312"/>
          <w:sz w:val="32"/>
          <w:szCs w:val="32"/>
          <w:lang w:eastAsia="zh-CN"/>
        </w:rPr>
        <w:t>，</w:t>
      </w:r>
      <w:r>
        <w:rPr>
          <w:rFonts w:hint="eastAsia" w:eastAsia="仿宋_GB2312"/>
          <w:color w:val="000000"/>
        </w:rPr>
        <w:t>加强债务监控和预警，</w:t>
      </w:r>
      <w:r>
        <w:rPr>
          <w:rFonts w:hint="eastAsia" w:eastAsia="仿宋_GB2312"/>
          <w:color w:val="000000"/>
          <w:lang w:eastAsia="zh-CN"/>
        </w:rPr>
        <w:t>实施债务预警</w:t>
      </w:r>
      <w:r>
        <w:rPr>
          <w:rFonts w:hint="eastAsia" w:eastAsia="仿宋_GB2312"/>
          <w:color w:val="000000"/>
        </w:rPr>
        <w:t>月报制，加强债务统计监测预警，</w:t>
      </w:r>
      <w:r>
        <w:rPr>
          <w:rFonts w:ascii="仿宋_GB2312" w:hAnsi="仿宋_GB2312" w:eastAsia="仿宋_GB2312"/>
          <w:sz w:val="32"/>
          <w:szCs w:val="32"/>
        </w:rPr>
        <w:t>根据现有存量债务总量，合理确定偿债目标，坚持“借、用、还”相统一管理原则，实行归口管理、动态监控</w:t>
      </w:r>
      <w:r>
        <w:rPr>
          <w:rFonts w:hint="eastAsia" w:ascii="仿宋_GB2312" w:hAnsi="仿宋_GB2312" w:eastAsia="仿宋_GB2312"/>
          <w:sz w:val="32"/>
          <w:szCs w:val="32"/>
          <w:lang w:val="en-US" w:eastAsia="zh-CN"/>
        </w:rPr>
        <w:t>并</w:t>
      </w:r>
      <w:r>
        <w:rPr>
          <w:rFonts w:ascii="仿宋_GB2312" w:hAnsi="仿宋_GB2312" w:eastAsia="仿宋_GB2312"/>
          <w:sz w:val="32"/>
          <w:szCs w:val="32"/>
        </w:rPr>
        <w:t>建立债务风险预警机制及应急处置机制。</w:t>
      </w:r>
      <w:r>
        <w:rPr>
          <w:rFonts w:hint="eastAsia" w:eastAsia="仿宋_GB2312"/>
          <w:color w:val="000000"/>
        </w:rPr>
        <w:t>通过预算安排资金、争取再融资债券等方式化解政府债务</w:t>
      </w:r>
      <w:r>
        <w:rPr>
          <w:rFonts w:hint="eastAsia" w:eastAsia="仿宋_GB2312"/>
          <w:color w:val="000000"/>
          <w:lang w:eastAsia="zh-CN"/>
        </w:rPr>
        <w:t>。</w:t>
      </w:r>
      <w:r>
        <w:rPr>
          <w:rFonts w:hint="eastAsia" w:ascii="Times New Roman" w:eastAsia="仿宋_GB2312"/>
          <w:b/>
          <w:sz w:val="32"/>
          <w:szCs w:val="32"/>
          <w:lang w:eastAsia="zh-CN"/>
        </w:rPr>
        <w:t>三是加强国有资产管理。</w:t>
      </w:r>
      <w:r>
        <w:rPr>
          <w:rFonts w:hint="eastAsia" w:ascii="Times New Roman" w:eastAsia="仿宋_GB2312"/>
          <w:b w:val="0"/>
          <w:bCs/>
          <w:sz w:val="32"/>
          <w:szCs w:val="32"/>
          <w:lang w:val="en-US" w:eastAsia="zh-CN"/>
        </w:rPr>
        <w:t>完善国有资产处置机制、规范处置程序。在全区范围内开展国有资产清查，优化资源配置，推动闲置资源在各部门之间相互调剂，合理利用闲置资源。</w:t>
      </w:r>
      <w:r>
        <w:rPr>
          <w:rFonts w:hint="eastAsia" w:ascii="Times New Roman" w:eastAsia="仿宋_GB2312"/>
          <w:b/>
          <w:sz w:val="32"/>
          <w:szCs w:val="32"/>
          <w:lang w:eastAsia="zh-CN"/>
        </w:rPr>
        <w:t>四是加强政府采购监管。</w:t>
      </w:r>
      <w:r>
        <w:rPr>
          <w:rFonts w:hint="eastAsia" w:ascii="仿宋_GB2312" w:hAnsi="仿宋_GB2312" w:eastAsia="仿宋_GB2312" w:cs="仿宋_GB2312"/>
          <w:color w:val="222222"/>
          <w:kern w:val="2"/>
          <w:sz w:val="32"/>
          <w:szCs w:val="32"/>
          <w:shd w:val="clear" w:color="auto" w:fill="FFFFFF"/>
        </w:rPr>
        <w:t>认真落实省财政厅政府集中采购目录和限额标准，完善采购程序</w:t>
      </w:r>
      <w:r>
        <w:rPr>
          <w:rFonts w:hint="eastAsia" w:ascii="仿宋_GB2312" w:hAnsi="仿宋_GB2312" w:eastAsia="仿宋_GB2312" w:cs="仿宋_GB2312"/>
          <w:color w:val="222222"/>
          <w:kern w:val="2"/>
          <w:sz w:val="32"/>
          <w:szCs w:val="32"/>
          <w:shd w:val="clear" w:color="auto" w:fill="FFFFFF"/>
          <w:lang w:eastAsia="zh-CN"/>
        </w:rPr>
        <w:t>，</w:t>
      </w:r>
      <w:r>
        <w:rPr>
          <w:rFonts w:hint="eastAsia" w:ascii="仿宋_GB2312" w:hAnsi="仿宋_GB2312" w:eastAsia="仿宋_GB2312" w:cs="仿宋_GB2312"/>
          <w:sz w:val="32"/>
          <w:szCs w:val="32"/>
        </w:rPr>
        <w:t>规范政府采购行为</w:t>
      </w:r>
      <w:r>
        <w:rPr>
          <w:rFonts w:hint="eastAsia" w:ascii="仿宋_GB2312" w:hAnsi="仿宋_GB2312" w:eastAsia="仿宋_GB2312" w:cs="仿宋_GB2312"/>
          <w:sz w:val="32"/>
          <w:szCs w:val="32"/>
          <w:lang w:eastAsia="zh-CN"/>
        </w:rPr>
        <w:t>。</w:t>
      </w:r>
      <w:r>
        <w:rPr>
          <w:rFonts w:hint="eastAsia" w:ascii="Times New Roman" w:eastAsia="仿宋_GB2312"/>
          <w:b/>
          <w:sz w:val="32"/>
          <w:szCs w:val="32"/>
          <w:lang w:eastAsia="zh-CN"/>
        </w:rPr>
        <w:t>五是全面推进预算管理一体化建设。</w:t>
      </w:r>
      <w:r>
        <w:rPr>
          <w:rFonts w:hint="eastAsia" w:ascii="仿宋_GB2312" w:eastAsia="仿宋_GB2312"/>
          <w:sz w:val="32"/>
          <w:szCs w:val="32"/>
          <w:lang w:eastAsia="zh-CN"/>
        </w:rPr>
        <w:t>按照上级财政部门要求实施辽宁省预算管理一体化平台建设，</w:t>
      </w:r>
      <w:r>
        <w:rPr>
          <w:rFonts w:hint="eastAsia" w:ascii="仿宋_GB2312" w:eastAsia="仿宋_GB2312"/>
          <w:sz w:val="32"/>
          <w:szCs w:val="32"/>
          <w:lang w:val="en-US" w:eastAsia="zh-CN"/>
        </w:rPr>
        <w:t>如今预算管理一体化平台已经正式上线使用，</w:t>
      </w:r>
      <w:r>
        <w:rPr>
          <w:rFonts w:hint="eastAsia" w:ascii="仿宋_GB2312" w:eastAsia="仿宋_GB2312"/>
          <w:sz w:val="32"/>
          <w:szCs w:val="32"/>
          <w:highlight w:val="none"/>
          <w:lang w:val="en-US" w:eastAsia="zh-CN"/>
        </w:rPr>
        <w:t>全区预算单位已全部纳入预算管理一体化平台管理</w:t>
      </w:r>
      <w:r>
        <w:rPr>
          <w:rFonts w:hint="eastAsia" w:ascii="仿宋_GB2312" w:eastAsia="仿宋_GB2312"/>
          <w:sz w:val="32"/>
          <w:szCs w:val="32"/>
          <w:lang w:val="en-US" w:eastAsia="zh-CN"/>
        </w:rPr>
        <w:t>，2022年预算工作也在一体化平台顺利开展，为之后</w:t>
      </w:r>
      <w:r>
        <w:rPr>
          <w:rFonts w:hint="eastAsia" w:ascii="仿宋_GB2312" w:eastAsia="仿宋_GB2312"/>
          <w:sz w:val="32"/>
          <w:szCs w:val="32"/>
          <w:lang w:eastAsia="zh-CN"/>
        </w:rPr>
        <w:t>建立规范</w:t>
      </w:r>
      <w:r>
        <w:rPr>
          <w:rFonts w:hint="eastAsia" w:ascii="仿宋_GB2312" w:eastAsia="仿宋_GB2312"/>
          <w:sz w:val="32"/>
          <w:szCs w:val="32"/>
          <w:lang w:val="en-US" w:eastAsia="zh-CN"/>
        </w:rPr>
        <w:t>化、</w:t>
      </w:r>
      <w:r>
        <w:rPr>
          <w:rFonts w:hint="eastAsia" w:ascii="仿宋_GB2312" w:eastAsia="仿宋_GB2312"/>
          <w:sz w:val="32"/>
          <w:szCs w:val="32"/>
          <w:lang w:eastAsia="zh-CN"/>
        </w:rPr>
        <w:t>透明</w:t>
      </w:r>
      <w:r>
        <w:rPr>
          <w:rFonts w:hint="eastAsia" w:ascii="仿宋_GB2312" w:eastAsia="仿宋_GB2312"/>
          <w:sz w:val="32"/>
          <w:szCs w:val="32"/>
          <w:lang w:val="en-US" w:eastAsia="zh-CN"/>
        </w:rPr>
        <w:t>化</w:t>
      </w:r>
      <w:r>
        <w:rPr>
          <w:rFonts w:hint="eastAsia" w:ascii="仿宋_GB2312" w:eastAsia="仿宋_GB2312"/>
          <w:sz w:val="32"/>
          <w:szCs w:val="32"/>
          <w:lang w:eastAsia="zh-CN"/>
        </w:rPr>
        <w:t>、科学</w:t>
      </w:r>
      <w:r>
        <w:rPr>
          <w:rFonts w:hint="eastAsia" w:ascii="仿宋_GB2312" w:eastAsia="仿宋_GB2312"/>
          <w:sz w:val="32"/>
          <w:szCs w:val="32"/>
          <w:lang w:val="en-US" w:eastAsia="zh-CN"/>
        </w:rPr>
        <w:t>化</w:t>
      </w:r>
      <w:r>
        <w:rPr>
          <w:rFonts w:hint="eastAsia" w:ascii="仿宋_GB2312" w:eastAsia="仿宋_GB2312"/>
          <w:sz w:val="32"/>
          <w:szCs w:val="32"/>
          <w:lang w:eastAsia="zh-CN"/>
        </w:rPr>
        <w:t>、</w:t>
      </w:r>
      <w:r>
        <w:rPr>
          <w:rFonts w:hint="eastAsia" w:ascii="仿宋_GB2312" w:eastAsia="仿宋_GB2312"/>
          <w:sz w:val="32"/>
          <w:szCs w:val="32"/>
          <w:lang w:val="en-US" w:eastAsia="zh-CN"/>
        </w:rPr>
        <w:t>精准化</w:t>
      </w:r>
      <w:r>
        <w:rPr>
          <w:rFonts w:hint="eastAsia" w:ascii="仿宋_GB2312" w:eastAsia="仿宋_GB2312"/>
          <w:sz w:val="32"/>
          <w:szCs w:val="32"/>
          <w:lang w:eastAsia="zh-CN"/>
        </w:rPr>
        <w:t>的预算制度</w:t>
      </w:r>
      <w:r>
        <w:rPr>
          <w:rFonts w:hint="eastAsia" w:ascii="仿宋_GB2312" w:eastAsia="仿宋_GB2312"/>
          <w:sz w:val="32"/>
          <w:szCs w:val="32"/>
          <w:lang w:val="en-US" w:eastAsia="zh-CN"/>
        </w:rPr>
        <w:t>打</w:t>
      </w:r>
      <w:r>
        <w:rPr>
          <w:rFonts w:hint="eastAsia" w:ascii="仿宋_GB2312" w:eastAsia="仿宋_GB2312"/>
          <w:sz w:val="32"/>
          <w:szCs w:val="32"/>
          <w:lang w:eastAsia="zh-CN"/>
        </w:rPr>
        <w:t>好了</w:t>
      </w:r>
      <w:r>
        <w:rPr>
          <w:rFonts w:hint="eastAsia" w:ascii="仿宋_GB2312" w:eastAsia="仿宋_GB2312"/>
          <w:sz w:val="32"/>
          <w:szCs w:val="32"/>
          <w:lang w:val="en-US" w:eastAsia="zh-CN"/>
        </w:rPr>
        <w:t>坚定的基础</w:t>
      </w:r>
      <w:r>
        <w:rPr>
          <w:rFonts w:hint="eastAsia" w:ascii="仿宋_GB2312" w:eastAsia="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kern w:val="2"/>
          <w:sz w:val="32"/>
          <w:szCs w:val="32"/>
          <w:lang w:val="en-US" w:eastAsia="zh-CN" w:bidi="ar-SA"/>
        </w:rPr>
      </w:pPr>
      <w:r>
        <w:rPr>
          <w:rFonts w:hint="eastAsia" w:eastAsia="仿宋_GB2312"/>
          <w:color w:val="000000"/>
        </w:rPr>
        <w:t>过去的一年，在区委的坚强领导下，在区人大的监督支持下，</w:t>
      </w:r>
      <w:r>
        <w:rPr>
          <w:rFonts w:hint="eastAsia" w:eastAsia="仿宋_GB2312"/>
          <w:color w:val="000000"/>
          <w:lang w:eastAsia="zh-CN"/>
        </w:rPr>
        <w:t>全区</w:t>
      </w:r>
      <w:r>
        <w:rPr>
          <w:rFonts w:hint="eastAsia" w:eastAsia="仿宋_GB2312"/>
          <w:color w:val="000000"/>
        </w:rPr>
        <w:t>财</w:t>
      </w:r>
      <w:r>
        <w:rPr>
          <w:rFonts w:hint="eastAsia" w:eastAsia="仿宋_GB2312"/>
          <w:color w:val="000000"/>
          <w:lang w:eastAsia="zh-CN"/>
        </w:rPr>
        <w:t>税</w:t>
      </w:r>
      <w:r>
        <w:rPr>
          <w:rFonts w:hint="eastAsia" w:eastAsia="仿宋_GB2312"/>
          <w:color w:val="000000"/>
        </w:rPr>
        <w:t>部门全力克服经济环境复杂多变的不利影响，悉心研究理财之道，为全区经济社会发展提供了财力保障。但我们也清醒地认识到，</w:t>
      </w:r>
      <w:r>
        <w:rPr>
          <w:rFonts w:hint="eastAsia" w:eastAsia="仿宋_GB2312"/>
          <w:color w:val="000000"/>
          <w:highlight w:val="none"/>
          <w:lang w:val="en-US" w:eastAsia="zh-CN"/>
        </w:rPr>
        <w:t>受经济环境</w:t>
      </w:r>
      <w:r>
        <w:rPr>
          <w:rFonts w:hint="eastAsia" w:eastAsia="仿宋_GB2312"/>
          <w:color w:val="000000"/>
          <w:highlight w:val="none"/>
        </w:rPr>
        <w:t>、减税降费政策翘尾等因素影响，</w:t>
      </w:r>
      <w:r>
        <w:rPr>
          <w:rFonts w:hint="eastAsia" w:eastAsia="仿宋_GB2312"/>
          <w:color w:val="000000"/>
        </w:rPr>
        <w:t>财政收入</w:t>
      </w:r>
      <w:r>
        <w:rPr>
          <w:rFonts w:hint="eastAsia" w:eastAsia="仿宋_GB2312"/>
          <w:color w:val="000000"/>
          <w:lang w:eastAsia="zh-CN"/>
        </w:rPr>
        <w:t>增长</w:t>
      </w:r>
      <w:r>
        <w:rPr>
          <w:rFonts w:hint="eastAsia" w:eastAsia="仿宋_GB2312"/>
          <w:color w:val="000000"/>
          <w:lang w:val="en-US" w:eastAsia="zh-CN"/>
        </w:rPr>
        <w:t>缺乏后劲</w:t>
      </w:r>
      <w:r>
        <w:rPr>
          <w:rFonts w:hint="eastAsia" w:eastAsia="仿宋_GB2312"/>
          <w:color w:val="000000"/>
          <w:lang w:eastAsia="zh-CN"/>
        </w:rPr>
        <w:t>，</w:t>
      </w:r>
      <w:r>
        <w:rPr>
          <w:rFonts w:hint="eastAsia" w:eastAsia="仿宋_GB2312"/>
          <w:color w:val="000000"/>
        </w:rPr>
        <w:t>刚性支出日益增长，财政收支矛盾</w:t>
      </w:r>
      <w:r>
        <w:rPr>
          <w:rFonts w:hint="eastAsia" w:eastAsia="仿宋_GB2312"/>
          <w:color w:val="000000"/>
          <w:lang w:val="en-US" w:eastAsia="zh-CN"/>
        </w:rPr>
        <w:t>比较突出</w:t>
      </w:r>
      <w:r>
        <w:rPr>
          <w:rFonts w:hint="eastAsia" w:eastAsia="仿宋_GB2312"/>
          <w:color w:val="000000"/>
        </w:rPr>
        <w:t>；政府债务</w:t>
      </w:r>
      <w:r>
        <w:rPr>
          <w:rFonts w:hint="eastAsia" w:eastAsia="仿宋_GB2312"/>
          <w:color w:val="auto"/>
          <w:highlight w:val="none"/>
          <w:lang w:eastAsia="zh-CN"/>
        </w:rPr>
        <w:t>还本付息</w:t>
      </w:r>
      <w:r>
        <w:rPr>
          <w:rFonts w:hint="eastAsia" w:eastAsia="仿宋_GB2312"/>
          <w:color w:val="auto"/>
          <w:highlight w:val="none"/>
        </w:rPr>
        <w:t>和养老金支付</w:t>
      </w:r>
      <w:r>
        <w:rPr>
          <w:rFonts w:hint="eastAsia" w:eastAsia="仿宋_GB2312"/>
          <w:color w:val="auto"/>
          <w:highlight w:val="none"/>
          <w:lang w:eastAsia="zh-CN"/>
        </w:rPr>
        <w:t>仍存在风</w:t>
      </w:r>
      <w:r>
        <w:rPr>
          <w:rFonts w:hint="eastAsia" w:eastAsia="仿宋_GB2312"/>
          <w:color w:val="000000"/>
          <w:lang w:eastAsia="zh-CN"/>
        </w:rPr>
        <w:t>险</w:t>
      </w:r>
      <w:r>
        <w:rPr>
          <w:rFonts w:hint="eastAsia" w:eastAsia="仿宋_GB2312"/>
          <w:color w:val="000000"/>
        </w:rPr>
        <w:t>；财政监管机制和绩效管理体系</w:t>
      </w:r>
      <w:r>
        <w:rPr>
          <w:rFonts w:hint="eastAsia" w:eastAsia="仿宋_GB2312"/>
          <w:color w:val="000000"/>
          <w:lang w:eastAsia="zh-CN"/>
        </w:rPr>
        <w:t>不够</w:t>
      </w:r>
      <w:r>
        <w:rPr>
          <w:rFonts w:hint="eastAsia" w:eastAsia="仿宋_GB2312"/>
          <w:color w:val="000000"/>
        </w:rPr>
        <w:t>完善等等。</w:t>
      </w:r>
      <w:r>
        <w:rPr>
          <w:rFonts w:eastAsia="仿宋_GB2312"/>
          <w:color w:val="000000"/>
        </w:rPr>
        <w:t>我们将高度重视这些问题，采取有力措施认真加以解决。</w:t>
      </w:r>
    </w:p>
    <w:p>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三、2022年预算草案</w:t>
      </w:r>
    </w:p>
    <w:p>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2022年是实施“十四五”规划、开启全面建设社会主义现代化国家新征程的一年，财政部门将以习近平新时代中国特色社会主义思想为指导，坚持现代化发展的全新理念，全面落实区委区政府决策部署，统筹推进疫情防控和经济社会发展，坚持依法理财、坚持量入为出、统筹兼顾、突出重点，合理编制2022年收支预算。</w:t>
      </w:r>
    </w:p>
    <w:p>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eastAsia" w:ascii="楷体_GB2312" w:hAnsi="楷体_GB2312" w:eastAsia="楷体_GB2312" w:cs="楷体_GB2312"/>
          <w:b/>
          <w:bCs/>
          <w:lang w:val="en-US" w:eastAsia="zh-CN"/>
        </w:rPr>
      </w:pPr>
      <w:r>
        <w:rPr>
          <w:rFonts w:hint="eastAsia" w:ascii="Times New Roman" w:hAnsi="Times New Roman" w:eastAsia="仿宋_GB2312" w:cs="Times New Roman"/>
          <w:b/>
          <w:bCs/>
          <w:color w:val="auto"/>
          <w:highlight w:val="none"/>
          <w:lang w:val="en-US" w:eastAsia="zh-CN"/>
        </w:rPr>
        <w:t>（一</w:t>
      </w:r>
      <w:r>
        <w:rPr>
          <w:rFonts w:hint="default" w:ascii="Times New Roman" w:hAnsi="Times New Roman" w:eastAsia="仿宋_GB2312" w:cs="Times New Roman"/>
          <w:b/>
          <w:bCs/>
          <w:color w:val="auto"/>
          <w:highlight w:val="none"/>
          <w:lang w:val="en-US" w:eastAsia="zh-CN"/>
        </w:rPr>
        <w:t>）202</w:t>
      </w:r>
      <w:r>
        <w:rPr>
          <w:rFonts w:hint="eastAsia" w:ascii="Times New Roman" w:hAnsi="Times New Roman" w:eastAsia="仿宋_GB2312" w:cs="Times New Roman"/>
          <w:b/>
          <w:bCs/>
          <w:color w:val="auto"/>
          <w:highlight w:val="none"/>
          <w:lang w:val="en-US" w:eastAsia="zh-CN"/>
        </w:rPr>
        <w:t>2年一般公共预算收支安排情况</w:t>
      </w:r>
    </w:p>
    <w:p>
      <w:pPr>
        <w:ind w:firstLine="632" w:firstLineChars="200"/>
        <w:rPr>
          <w:rFonts w:hint="eastAsia" w:eastAsia="仿宋_GB2312"/>
          <w:b/>
          <w:bCs/>
          <w:lang w:val="en-US" w:eastAsia="zh-CN"/>
        </w:rPr>
      </w:pPr>
      <w:r>
        <w:rPr>
          <w:rFonts w:hint="eastAsia" w:ascii="Times New Roman" w:hAnsi="Times New Roman" w:eastAsia="仿宋_GB2312" w:cs="Times New Roman"/>
          <w:b/>
          <w:bCs/>
          <w:color w:val="auto"/>
          <w:highlight w:val="none"/>
          <w:lang w:val="en-US" w:eastAsia="zh-CN"/>
        </w:rPr>
        <w:t>1.一般公共预算收入安排情况</w:t>
      </w:r>
    </w:p>
    <w:p>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2022年，全区一般公共预算收入安排69355万元，同比增长 10%。其中：税收收入65255万元，同比增长11.9%；非税收入 4100万元，同比下降13.8%。</w:t>
      </w:r>
    </w:p>
    <w:p>
      <w:pPr>
        <w:adjustRightInd w:val="0"/>
        <w:snapToGrid w:val="0"/>
        <w:jc w:val="center"/>
        <w:rPr>
          <w:rFonts w:eastAsia="黑体"/>
          <w:color w:val="000000"/>
          <w:sz w:val="28"/>
          <w:szCs w:val="28"/>
        </w:rPr>
      </w:pPr>
      <w:r>
        <w:rPr>
          <w:rFonts w:hint="eastAsia" w:eastAsia="黑体"/>
          <w:color w:val="000000"/>
          <w:sz w:val="28"/>
          <w:szCs w:val="28"/>
          <w:lang w:val="en-US" w:eastAsia="zh-CN"/>
        </w:rPr>
        <w:t>2022</w:t>
      </w:r>
      <w:r>
        <w:rPr>
          <w:rFonts w:eastAsia="黑体"/>
          <w:color w:val="000000"/>
          <w:sz w:val="28"/>
          <w:szCs w:val="28"/>
        </w:rPr>
        <w:t>年一般公共预算</w:t>
      </w:r>
      <w:r>
        <w:rPr>
          <w:rFonts w:hint="eastAsia" w:eastAsia="黑体"/>
          <w:color w:val="000000"/>
          <w:sz w:val="28"/>
          <w:szCs w:val="28"/>
          <w:lang w:eastAsia="zh-CN"/>
        </w:rPr>
        <w:t>收入安排情况表</w:t>
      </w:r>
    </w:p>
    <w:p>
      <w:pPr>
        <w:adjustRightInd w:val="0"/>
        <w:snapToGrid w:val="0"/>
        <w:ind w:firstLine="352" w:firstLineChars="200"/>
        <w:rPr>
          <w:rFonts w:eastAsia="仿宋_GB2312"/>
          <w:color w:val="0000FF"/>
        </w:rPr>
      </w:pPr>
      <w:r>
        <w:rPr>
          <w:rFonts w:eastAsia="黑体"/>
          <w:color w:val="000000"/>
          <w:sz w:val="18"/>
          <w:szCs w:val="18"/>
        </w:rPr>
        <w:t xml:space="preserve">                                                                            </w:t>
      </w:r>
      <w:r>
        <w:rPr>
          <w:color w:val="000000"/>
          <w:sz w:val="18"/>
          <w:szCs w:val="18"/>
        </w:rPr>
        <w:t xml:space="preserve">        单位：万元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8"/>
        <w:gridCol w:w="2042"/>
        <w:gridCol w:w="185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2958" w:type="dxa"/>
            <w:noWrap w:val="0"/>
            <w:vAlign w:val="center"/>
          </w:tcPr>
          <w:p>
            <w:pPr>
              <w:jc w:val="center"/>
              <w:rPr>
                <w:rFonts w:eastAsia="黑体"/>
                <w:color w:val="000000"/>
                <w:sz w:val="24"/>
                <w:szCs w:val="24"/>
              </w:rPr>
            </w:pPr>
            <w:r>
              <w:rPr>
                <w:rFonts w:hint="eastAsia" w:ascii="宋体" w:hAnsi="宋体" w:eastAsia="宋体" w:cs="宋体"/>
                <w:b/>
                <w:bCs/>
                <w:sz w:val="24"/>
                <w:szCs w:val="24"/>
                <w:vertAlign w:val="baseline"/>
                <w:lang w:val="en-US" w:eastAsia="zh-CN"/>
              </w:rPr>
              <w:t>科目</w:t>
            </w:r>
          </w:p>
        </w:tc>
        <w:tc>
          <w:tcPr>
            <w:tcW w:w="2042" w:type="dxa"/>
            <w:noWrap w:val="0"/>
            <w:vAlign w:val="center"/>
          </w:tcPr>
          <w:p>
            <w:pPr>
              <w:jc w:val="center"/>
              <w:rPr>
                <w:rFonts w:eastAsia="黑体"/>
                <w:color w:val="000000"/>
                <w:sz w:val="24"/>
                <w:szCs w:val="24"/>
              </w:rPr>
            </w:pPr>
            <w:r>
              <w:rPr>
                <w:rFonts w:hint="eastAsia" w:ascii="宋体" w:hAnsi="宋体" w:eastAsia="宋体" w:cs="宋体"/>
                <w:b/>
                <w:bCs/>
                <w:sz w:val="24"/>
                <w:szCs w:val="24"/>
                <w:vertAlign w:val="baseline"/>
                <w:lang w:val="en-US" w:eastAsia="zh-CN"/>
              </w:rPr>
              <w:t>数额</w:t>
            </w:r>
          </w:p>
        </w:tc>
        <w:tc>
          <w:tcPr>
            <w:tcW w:w="1855" w:type="dxa"/>
            <w:noWrap w:val="0"/>
            <w:vAlign w:val="center"/>
          </w:tcPr>
          <w:p>
            <w:pPr>
              <w:jc w:val="center"/>
              <w:rPr>
                <w:rFonts w:eastAsia="黑体"/>
                <w:color w:val="000000"/>
                <w:sz w:val="24"/>
                <w:szCs w:val="24"/>
              </w:rPr>
            </w:pPr>
            <w:r>
              <w:rPr>
                <w:rFonts w:hint="eastAsia" w:ascii="宋体" w:hAnsi="宋体" w:eastAsia="宋体" w:cs="宋体"/>
                <w:b/>
                <w:bCs/>
                <w:sz w:val="24"/>
                <w:szCs w:val="24"/>
                <w:vertAlign w:val="baseline"/>
                <w:lang w:val="en-US" w:eastAsia="zh-CN"/>
              </w:rPr>
              <w:t>增减%</w:t>
            </w:r>
          </w:p>
        </w:tc>
        <w:tc>
          <w:tcPr>
            <w:tcW w:w="1821" w:type="dxa"/>
            <w:noWrap w:val="0"/>
            <w:vAlign w:val="center"/>
          </w:tcPr>
          <w:p>
            <w:pPr>
              <w:jc w:val="center"/>
              <w:rPr>
                <w:rFonts w:eastAsia="黑体"/>
                <w:color w:val="000000"/>
                <w:sz w:val="24"/>
                <w:szCs w:val="24"/>
              </w:rPr>
            </w:pPr>
            <w:r>
              <w:rPr>
                <w:rFonts w:hint="eastAsia" w:ascii="宋体" w:hAnsi="宋体" w:eastAsia="宋体" w:cs="宋体"/>
                <w:b/>
                <w:bCs/>
                <w:sz w:val="24"/>
                <w:szCs w:val="24"/>
                <w:vertAlign w:val="baseline"/>
                <w:lang w:val="en-US"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2958" w:type="dxa"/>
            <w:noWrap w:val="0"/>
            <w:vAlign w:val="center"/>
          </w:tcPr>
          <w:p>
            <w:pPr>
              <w:jc w:val="center"/>
              <w:rPr>
                <w:color w:val="000000"/>
                <w:sz w:val="24"/>
                <w:szCs w:val="24"/>
              </w:rPr>
            </w:pPr>
            <w:r>
              <w:rPr>
                <w:rFonts w:hint="eastAsia" w:ascii="宋体" w:hAnsi="宋体" w:eastAsia="宋体" w:cs="宋体"/>
                <w:sz w:val="24"/>
                <w:szCs w:val="24"/>
                <w:vertAlign w:val="baseline"/>
                <w:lang w:val="en-US" w:eastAsia="zh-CN"/>
              </w:rPr>
              <w:t>一般公共预算收入</w:t>
            </w:r>
          </w:p>
        </w:tc>
        <w:tc>
          <w:tcPr>
            <w:tcW w:w="2042" w:type="dxa"/>
            <w:noWrap w:val="0"/>
            <w:vAlign w:val="center"/>
          </w:tcPr>
          <w:p>
            <w:pPr>
              <w:jc w:val="center"/>
              <w:rPr>
                <w:rFonts w:hint="default" w:eastAsia="宋体"/>
                <w:color w:val="000000"/>
                <w:sz w:val="24"/>
                <w:szCs w:val="24"/>
                <w:lang w:val="en-US" w:eastAsia="zh-CN"/>
              </w:rPr>
            </w:pPr>
            <w:r>
              <w:rPr>
                <w:rFonts w:hint="eastAsia" w:eastAsia="宋体"/>
                <w:color w:val="000000"/>
                <w:sz w:val="24"/>
                <w:szCs w:val="24"/>
                <w:lang w:val="en-US" w:eastAsia="zh-CN"/>
              </w:rPr>
              <w:t>69355</w:t>
            </w:r>
          </w:p>
        </w:tc>
        <w:tc>
          <w:tcPr>
            <w:tcW w:w="1855" w:type="dxa"/>
            <w:noWrap w:val="0"/>
            <w:vAlign w:val="center"/>
          </w:tcPr>
          <w:p>
            <w:pPr>
              <w:jc w:val="center"/>
              <w:rPr>
                <w:rFonts w:hint="default" w:eastAsia="宋体"/>
                <w:color w:val="000000"/>
                <w:sz w:val="24"/>
                <w:szCs w:val="24"/>
                <w:lang w:val="en-US" w:eastAsia="zh-CN"/>
              </w:rPr>
            </w:pPr>
            <w:r>
              <w:rPr>
                <w:rFonts w:hint="eastAsia"/>
                <w:color w:val="000000"/>
                <w:sz w:val="24"/>
                <w:szCs w:val="24"/>
                <w:lang w:val="en-US" w:eastAsia="zh-CN"/>
              </w:rPr>
              <w:t>10</w:t>
            </w:r>
          </w:p>
        </w:tc>
        <w:tc>
          <w:tcPr>
            <w:tcW w:w="1821" w:type="dxa"/>
            <w:noWrap w:val="0"/>
            <w:vAlign w:val="center"/>
          </w:tcPr>
          <w:p>
            <w:pPr>
              <w:jc w:val="center"/>
              <w:rPr>
                <w:rFonts w:hint="default" w:eastAsia="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2958" w:type="dxa"/>
            <w:noWrap w:val="0"/>
            <w:vAlign w:val="center"/>
          </w:tcPr>
          <w:p>
            <w:pPr>
              <w:jc w:val="center"/>
              <w:rPr>
                <w:color w:val="000000"/>
                <w:sz w:val="24"/>
                <w:szCs w:val="24"/>
              </w:rPr>
            </w:pPr>
            <w:r>
              <w:rPr>
                <w:rFonts w:hint="eastAsia" w:ascii="宋体" w:hAnsi="宋体" w:eastAsia="宋体" w:cs="宋体"/>
                <w:sz w:val="24"/>
                <w:szCs w:val="24"/>
                <w:vertAlign w:val="baseline"/>
                <w:lang w:val="en-US" w:eastAsia="zh-CN"/>
              </w:rPr>
              <w:t>其中：税收收入</w:t>
            </w:r>
          </w:p>
        </w:tc>
        <w:tc>
          <w:tcPr>
            <w:tcW w:w="2042" w:type="dxa"/>
            <w:noWrap w:val="0"/>
            <w:vAlign w:val="center"/>
          </w:tcPr>
          <w:p>
            <w:pPr>
              <w:jc w:val="center"/>
              <w:rPr>
                <w:rFonts w:hint="default" w:eastAsia="宋体"/>
                <w:color w:val="000000"/>
                <w:sz w:val="24"/>
                <w:szCs w:val="24"/>
                <w:lang w:val="en-US" w:eastAsia="zh-CN"/>
              </w:rPr>
            </w:pPr>
            <w:r>
              <w:rPr>
                <w:rFonts w:hint="eastAsia" w:eastAsia="宋体"/>
                <w:color w:val="000000"/>
                <w:sz w:val="24"/>
                <w:szCs w:val="24"/>
                <w:lang w:val="en-US" w:eastAsia="zh-CN"/>
              </w:rPr>
              <w:t>65255</w:t>
            </w:r>
          </w:p>
        </w:tc>
        <w:tc>
          <w:tcPr>
            <w:tcW w:w="1855" w:type="dxa"/>
            <w:noWrap w:val="0"/>
            <w:vAlign w:val="center"/>
          </w:tcPr>
          <w:p>
            <w:pPr>
              <w:jc w:val="center"/>
              <w:rPr>
                <w:rFonts w:hint="default" w:eastAsia="宋体"/>
                <w:color w:val="000000"/>
                <w:sz w:val="24"/>
                <w:szCs w:val="24"/>
                <w:lang w:val="en-US" w:eastAsia="zh-CN"/>
              </w:rPr>
            </w:pPr>
            <w:r>
              <w:rPr>
                <w:rFonts w:hint="eastAsia"/>
                <w:color w:val="000000"/>
                <w:sz w:val="24"/>
                <w:szCs w:val="24"/>
                <w:lang w:val="en-US" w:eastAsia="zh-CN"/>
              </w:rPr>
              <w:t>11.9</w:t>
            </w:r>
          </w:p>
        </w:tc>
        <w:tc>
          <w:tcPr>
            <w:tcW w:w="1821" w:type="dxa"/>
            <w:noWrap w:val="0"/>
            <w:vAlign w:val="center"/>
          </w:tcPr>
          <w:p>
            <w:pPr>
              <w:jc w:val="center"/>
              <w:rPr>
                <w:rFonts w:hint="default" w:eastAsia="宋体"/>
                <w:color w:val="000000"/>
                <w:sz w:val="24"/>
                <w:szCs w:val="24"/>
                <w:lang w:val="en-US" w:eastAsia="zh-CN"/>
              </w:rPr>
            </w:pPr>
            <w:r>
              <w:rPr>
                <w:rFonts w:hint="eastAsia" w:eastAsia="宋体"/>
                <w:color w:val="000000"/>
                <w:sz w:val="24"/>
                <w:szCs w:val="24"/>
                <w:lang w:val="en-US" w:eastAsia="zh-CN"/>
              </w:rPr>
              <w:t>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jc w:val="center"/>
        </w:trPr>
        <w:tc>
          <w:tcPr>
            <w:tcW w:w="2958" w:type="dxa"/>
            <w:noWrap w:val="0"/>
            <w:vAlign w:val="center"/>
          </w:tcPr>
          <w:p>
            <w:pPr>
              <w:ind w:firstLine="708" w:firstLineChars="300"/>
              <w:jc w:val="center"/>
              <w:rPr>
                <w:b/>
                <w:bCs/>
                <w:color w:val="000000"/>
                <w:sz w:val="24"/>
                <w:szCs w:val="24"/>
              </w:rPr>
            </w:pPr>
            <w:r>
              <w:rPr>
                <w:rFonts w:hint="eastAsia" w:ascii="宋体" w:hAnsi="宋体" w:eastAsia="宋体" w:cs="宋体"/>
                <w:sz w:val="24"/>
                <w:szCs w:val="24"/>
                <w:vertAlign w:val="baseline"/>
                <w:lang w:val="en-US" w:eastAsia="zh-CN"/>
              </w:rPr>
              <w:t>非税收入</w:t>
            </w:r>
          </w:p>
        </w:tc>
        <w:tc>
          <w:tcPr>
            <w:tcW w:w="2042" w:type="dxa"/>
            <w:noWrap w:val="0"/>
            <w:vAlign w:val="center"/>
          </w:tcPr>
          <w:p>
            <w:pPr>
              <w:jc w:val="center"/>
              <w:rPr>
                <w:rFonts w:hint="default" w:eastAsia="宋体"/>
                <w:b/>
                <w:bCs/>
                <w:color w:val="000000"/>
                <w:sz w:val="24"/>
                <w:szCs w:val="24"/>
                <w:lang w:val="en-US" w:eastAsia="zh-CN"/>
              </w:rPr>
            </w:pPr>
            <w:r>
              <w:rPr>
                <w:rFonts w:hint="eastAsia" w:eastAsia="宋体"/>
                <w:b w:val="0"/>
                <w:bCs w:val="0"/>
                <w:color w:val="000000"/>
                <w:sz w:val="24"/>
                <w:szCs w:val="24"/>
                <w:lang w:val="en-US" w:eastAsia="zh-CN"/>
              </w:rPr>
              <w:t>4100</w:t>
            </w:r>
          </w:p>
        </w:tc>
        <w:tc>
          <w:tcPr>
            <w:tcW w:w="1855" w:type="dxa"/>
            <w:noWrap w:val="0"/>
            <w:vAlign w:val="center"/>
          </w:tcPr>
          <w:p>
            <w:pPr>
              <w:jc w:val="center"/>
              <w:rPr>
                <w:rFonts w:hint="default" w:eastAsia="宋体"/>
                <w:b/>
                <w:bCs/>
                <w:color w:val="000000"/>
                <w:sz w:val="24"/>
                <w:szCs w:val="24"/>
                <w:lang w:val="en-US" w:eastAsia="zh-CN"/>
              </w:rPr>
            </w:pPr>
            <w:r>
              <w:rPr>
                <w:rFonts w:hint="eastAsia" w:ascii="Times New Roman" w:hAnsi="Times New Roman" w:eastAsia="宋体" w:cs="Times New Roman"/>
                <w:color w:val="000000"/>
                <w:sz w:val="24"/>
                <w:szCs w:val="24"/>
                <w:lang w:val="en-US" w:eastAsia="zh-CN"/>
              </w:rPr>
              <w:t>-13.8</w:t>
            </w:r>
          </w:p>
        </w:tc>
        <w:tc>
          <w:tcPr>
            <w:tcW w:w="1821" w:type="dxa"/>
            <w:noWrap w:val="0"/>
            <w:vAlign w:val="center"/>
          </w:tcPr>
          <w:p>
            <w:pPr>
              <w:jc w:val="center"/>
              <w:rPr>
                <w:rFonts w:hint="default" w:eastAsia="宋体"/>
                <w:b/>
                <w:bCs/>
                <w:color w:val="000000"/>
                <w:sz w:val="24"/>
                <w:szCs w:val="24"/>
                <w:lang w:val="en-US" w:eastAsia="zh-CN"/>
              </w:rPr>
            </w:pPr>
            <w:r>
              <w:rPr>
                <w:rFonts w:hint="eastAsia" w:eastAsia="宋体"/>
                <w:b w:val="0"/>
                <w:bCs w:val="0"/>
                <w:color w:val="000000"/>
                <w:sz w:val="24"/>
                <w:szCs w:val="24"/>
                <w:lang w:val="en-US" w:eastAsia="zh-CN"/>
              </w:rPr>
              <w:t>5.9</w:t>
            </w:r>
          </w:p>
        </w:tc>
      </w:tr>
    </w:tbl>
    <w:p>
      <w:pPr>
        <w:ind w:firstLine="632" w:firstLineChars="200"/>
        <w:jc w:val="both"/>
        <w:rPr>
          <w:rFonts w:hint="default" w:eastAsia="仿宋_GB2312"/>
          <w:lang w:val="en-US" w:eastAsia="zh-CN"/>
        </w:rPr>
      </w:pPr>
      <w:r>
        <w:rPr>
          <w:rFonts w:hint="eastAsia" w:eastAsia="仿宋_GB2312"/>
          <w:b/>
          <w:bCs/>
          <w:lang w:val="en-US" w:eastAsia="zh-CN"/>
        </w:rPr>
        <w:t>2.一般公共预算支出安排情况</w:t>
      </w:r>
    </w:p>
    <w:p>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2022年，全区一般公共预算支出安排54867万元，同比下降37.3%。具体安排情况是：</w:t>
      </w:r>
      <w:r>
        <w:rPr>
          <w:rFonts w:hint="default" w:ascii="Times New Roman" w:hAnsi="Times New Roman" w:eastAsia="仿宋_GB2312" w:cs="Times New Roman"/>
          <w:color w:val="auto"/>
          <w:highlight w:val="none"/>
          <w:lang w:val="en-US" w:eastAsia="zh-CN"/>
        </w:rPr>
        <w:t>一般公共服务支出</w:t>
      </w:r>
      <w:r>
        <w:rPr>
          <w:rFonts w:hint="eastAsia" w:ascii="Times New Roman" w:hAnsi="Times New Roman" w:eastAsia="仿宋_GB2312" w:cs="Times New Roman"/>
          <w:color w:val="auto"/>
          <w:highlight w:val="none"/>
          <w:lang w:val="en-US" w:eastAsia="zh-CN"/>
        </w:rPr>
        <w:t>13802</w:t>
      </w:r>
      <w:r>
        <w:rPr>
          <w:rFonts w:hint="default" w:ascii="Times New Roman" w:hAnsi="Times New Roman" w:eastAsia="仿宋_GB2312" w:cs="Times New Roman"/>
          <w:color w:val="auto"/>
          <w:highlight w:val="none"/>
          <w:lang w:val="en-US" w:eastAsia="zh-CN"/>
        </w:rPr>
        <w:t>万元；</w:t>
      </w:r>
      <w:r>
        <w:rPr>
          <w:rFonts w:hint="eastAsia" w:ascii="Times New Roman" w:hAnsi="Times New Roman" w:eastAsia="仿宋_GB2312" w:cs="Times New Roman"/>
          <w:color w:val="auto"/>
          <w:highlight w:val="none"/>
          <w:lang w:val="en-US" w:eastAsia="zh-CN"/>
        </w:rPr>
        <w:t>国防支出15万元；</w:t>
      </w:r>
      <w:r>
        <w:rPr>
          <w:rFonts w:hint="default" w:ascii="Times New Roman" w:hAnsi="Times New Roman" w:eastAsia="仿宋_GB2312" w:cs="Times New Roman"/>
          <w:color w:val="auto"/>
          <w:highlight w:val="none"/>
          <w:lang w:val="en-US" w:eastAsia="zh-CN"/>
        </w:rPr>
        <w:t>公共安全支出</w:t>
      </w:r>
      <w:r>
        <w:rPr>
          <w:rFonts w:hint="eastAsia" w:ascii="Times New Roman" w:hAnsi="Times New Roman" w:eastAsia="仿宋_GB2312" w:cs="Times New Roman"/>
          <w:color w:val="auto"/>
          <w:highlight w:val="none"/>
          <w:lang w:val="en-US" w:eastAsia="zh-CN"/>
        </w:rPr>
        <w:t>1436</w:t>
      </w:r>
      <w:r>
        <w:rPr>
          <w:rFonts w:hint="default" w:ascii="Times New Roman" w:hAnsi="Times New Roman" w:eastAsia="仿宋_GB2312" w:cs="Times New Roman"/>
          <w:color w:val="auto"/>
          <w:highlight w:val="none"/>
          <w:lang w:val="en-US" w:eastAsia="zh-CN"/>
        </w:rPr>
        <w:t>万元；教育支出</w:t>
      </w:r>
      <w:r>
        <w:rPr>
          <w:rFonts w:hint="eastAsia" w:ascii="Times New Roman" w:hAnsi="Times New Roman" w:eastAsia="仿宋_GB2312" w:cs="Times New Roman"/>
          <w:color w:val="auto"/>
          <w:highlight w:val="none"/>
          <w:lang w:val="en-US" w:eastAsia="zh-CN"/>
        </w:rPr>
        <w:t>11866</w:t>
      </w:r>
      <w:r>
        <w:rPr>
          <w:rFonts w:hint="default" w:ascii="Times New Roman" w:hAnsi="Times New Roman" w:eastAsia="仿宋_GB2312" w:cs="Times New Roman"/>
          <w:color w:val="auto"/>
          <w:highlight w:val="none"/>
          <w:lang w:val="en-US" w:eastAsia="zh-CN"/>
        </w:rPr>
        <w:t>万元；科学技术支出</w:t>
      </w:r>
      <w:r>
        <w:rPr>
          <w:rFonts w:hint="eastAsia" w:ascii="Times New Roman" w:hAnsi="Times New Roman" w:eastAsia="仿宋_GB2312" w:cs="Times New Roman"/>
          <w:color w:val="auto"/>
          <w:highlight w:val="none"/>
          <w:lang w:val="en-US" w:eastAsia="zh-CN"/>
        </w:rPr>
        <w:t>13</w:t>
      </w:r>
      <w:r>
        <w:rPr>
          <w:rFonts w:hint="default" w:ascii="Times New Roman" w:hAnsi="Times New Roman" w:eastAsia="仿宋_GB2312" w:cs="Times New Roman"/>
          <w:color w:val="auto"/>
          <w:highlight w:val="none"/>
          <w:lang w:val="en-US" w:eastAsia="zh-CN"/>
        </w:rPr>
        <w:t>万元；文化旅游体育与传媒支出</w:t>
      </w:r>
      <w:r>
        <w:rPr>
          <w:rFonts w:hint="eastAsia" w:ascii="Times New Roman" w:hAnsi="Times New Roman" w:eastAsia="仿宋_GB2312" w:cs="Times New Roman"/>
          <w:color w:val="auto"/>
          <w:highlight w:val="none"/>
          <w:lang w:val="en-US" w:eastAsia="zh-CN"/>
        </w:rPr>
        <w:t>117</w:t>
      </w:r>
      <w:r>
        <w:rPr>
          <w:rFonts w:hint="default" w:ascii="Times New Roman" w:hAnsi="Times New Roman" w:eastAsia="仿宋_GB2312" w:cs="Times New Roman"/>
          <w:color w:val="auto"/>
          <w:highlight w:val="none"/>
          <w:lang w:val="en-US" w:eastAsia="zh-CN"/>
        </w:rPr>
        <w:t>万元；社会保障和就业支出</w:t>
      </w:r>
      <w:r>
        <w:rPr>
          <w:rFonts w:hint="eastAsia" w:ascii="Times New Roman" w:hAnsi="Times New Roman" w:eastAsia="仿宋_GB2312" w:cs="Times New Roman"/>
          <w:color w:val="auto"/>
          <w:highlight w:val="none"/>
          <w:lang w:val="en-US" w:eastAsia="zh-CN"/>
        </w:rPr>
        <w:t>14385</w:t>
      </w:r>
      <w:r>
        <w:rPr>
          <w:rFonts w:hint="default" w:ascii="Times New Roman" w:hAnsi="Times New Roman" w:eastAsia="仿宋_GB2312" w:cs="Times New Roman"/>
          <w:color w:val="auto"/>
          <w:highlight w:val="none"/>
          <w:lang w:val="en-US" w:eastAsia="zh-CN"/>
        </w:rPr>
        <w:t>万元；卫生健康支出</w:t>
      </w:r>
      <w:r>
        <w:rPr>
          <w:rFonts w:hint="eastAsia" w:ascii="Times New Roman" w:hAnsi="Times New Roman" w:eastAsia="仿宋_GB2312" w:cs="Times New Roman"/>
          <w:color w:val="auto"/>
          <w:highlight w:val="none"/>
          <w:lang w:val="en-US" w:eastAsia="zh-CN"/>
        </w:rPr>
        <w:t>6641</w:t>
      </w:r>
      <w:r>
        <w:rPr>
          <w:rFonts w:hint="default" w:ascii="Times New Roman" w:hAnsi="Times New Roman" w:eastAsia="仿宋_GB2312" w:cs="Times New Roman"/>
          <w:color w:val="auto"/>
          <w:highlight w:val="none"/>
          <w:lang w:val="en-US" w:eastAsia="zh-CN"/>
        </w:rPr>
        <w:t>万元；节能环保支出</w:t>
      </w:r>
      <w:r>
        <w:rPr>
          <w:rFonts w:hint="eastAsia" w:ascii="Times New Roman" w:hAnsi="Times New Roman" w:eastAsia="仿宋_GB2312" w:cs="Times New Roman"/>
          <w:color w:val="auto"/>
          <w:highlight w:val="none"/>
          <w:lang w:val="en-US" w:eastAsia="zh-CN"/>
        </w:rPr>
        <w:t>88</w:t>
      </w:r>
      <w:r>
        <w:rPr>
          <w:rFonts w:hint="default" w:ascii="Times New Roman" w:hAnsi="Times New Roman" w:eastAsia="仿宋_GB2312" w:cs="Times New Roman"/>
          <w:color w:val="auto"/>
          <w:highlight w:val="none"/>
          <w:lang w:val="en-US" w:eastAsia="zh-CN"/>
        </w:rPr>
        <w:t>万元；城乡社区支出</w:t>
      </w:r>
      <w:r>
        <w:rPr>
          <w:rFonts w:hint="eastAsia" w:ascii="Times New Roman" w:hAnsi="Times New Roman" w:eastAsia="仿宋_GB2312" w:cs="Times New Roman"/>
          <w:color w:val="auto"/>
          <w:highlight w:val="none"/>
          <w:lang w:val="en-US" w:eastAsia="zh-CN"/>
        </w:rPr>
        <w:t>1119</w:t>
      </w:r>
      <w:r>
        <w:rPr>
          <w:rFonts w:hint="default" w:ascii="Times New Roman" w:hAnsi="Times New Roman" w:eastAsia="仿宋_GB2312" w:cs="Times New Roman"/>
          <w:color w:val="auto"/>
          <w:highlight w:val="none"/>
          <w:lang w:val="en-US" w:eastAsia="zh-CN"/>
        </w:rPr>
        <w:t>万元；农林水支出</w:t>
      </w:r>
      <w:r>
        <w:rPr>
          <w:rFonts w:hint="eastAsia" w:ascii="Times New Roman" w:hAnsi="Times New Roman" w:eastAsia="仿宋_GB2312" w:cs="Times New Roman"/>
          <w:color w:val="auto"/>
          <w:highlight w:val="none"/>
          <w:lang w:val="en-US" w:eastAsia="zh-CN"/>
        </w:rPr>
        <w:t>1713</w:t>
      </w:r>
      <w:r>
        <w:rPr>
          <w:rFonts w:hint="default" w:ascii="Times New Roman" w:hAnsi="Times New Roman" w:eastAsia="仿宋_GB2312" w:cs="Times New Roman"/>
          <w:color w:val="auto"/>
          <w:highlight w:val="none"/>
          <w:lang w:val="en-US" w:eastAsia="zh-CN"/>
        </w:rPr>
        <w:t>万元；</w:t>
      </w:r>
      <w:r>
        <w:rPr>
          <w:rFonts w:hint="eastAsia" w:ascii="Times New Roman" w:hAnsi="Times New Roman" w:eastAsia="仿宋_GB2312" w:cs="Times New Roman"/>
          <w:color w:val="auto"/>
          <w:highlight w:val="none"/>
          <w:lang w:val="en-US" w:eastAsia="zh-CN"/>
        </w:rPr>
        <w:t>交通运输</w:t>
      </w:r>
      <w:r>
        <w:rPr>
          <w:rFonts w:hint="default" w:ascii="Times New Roman" w:hAnsi="Times New Roman" w:eastAsia="仿宋_GB2312" w:cs="Times New Roman"/>
          <w:color w:val="auto"/>
          <w:highlight w:val="none"/>
          <w:lang w:val="en-US" w:eastAsia="zh-CN"/>
        </w:rPr>
        <w:t>支出</w:t>
      </w:r>
      <w:r>
        <w:rPr>
          <w:rFonts w:hint="eastAsia" w:ascii="Times New Roman" w:hAnsi="Times New Roman" w:eastAsia="仿宋_GB2312" w:cs="Times New Roman"/>
          <w:color w:val="auto"/>
          <w:highlight w:val="none"/>
          <w:lang w:val="en-US" w:eastAsia="zh-CN"/>
        </w:rPr>
        <w:t>101万元</w:t>
      </w:r>
      <w:r>
        <w:rPr>
          <w:rFonts w:hint="default" w:ascii="Times New Roman" w:hAnsi="Times New Roman" w:eastAsia="仿宋_GB2312" w:cs="Times New Roman"/>
          <w:color w:val="auto"/>
          <w:highlight w:val="none"/>
          <w:lang w:val="en-US" w:eastAsia="zh-CN"/>
        </w:rPr>
        <w:t>；住房保障支出</w:t>
      </w:r>
      <w:r>
        <w:rPr>
          <w:rFonts w:hint="eastAsia" w:ascii="Times New Roman" w:hAnsi="Times New Roman" w:eastAsia="仿宋_GB2312" w:cs="Times New Roman"/>
          <w:color w:val="auto"/>
          <w:highlight w:val="none"/>
          <w:lang w:val="en-US" w:eastAsia="zh-CN"/>
        </w:rPr>
        <w:t>2669</w:t>
      </w:r>
      <w:r>
        <w:rPr>
          <w:rFonts w:hint="default" w:ascii="Times New Roman" w:hAnsi="Times New Roman" w:eastAsia="仿宋_GB2312" w:cs="Times New Roman"/>
          <w:color w:val="auto"/>
          <w:highlight w:val="none"/>
          <w:lang w:val="en-US" w:eastAsia="zh-CN"/>
        </w:rPr>
        <w:t>万元；灾害防治及应急管理支出</w:t>
      </w:r>
      <w:r>
        <w:rPr>
          <w:rFonts w:hint="eastAsia" w:ascii="Times New Roman" w:hAnsi="Times New Roman" w:eastAsia="仿宋_GB2312" w:cs="Times New Roman"/>
          <w:color w:val="auto"/>
          <w:highlight w:val="none"/>
          <w:lang w:val="en-US" w:eastAsia="zh-CN"/>
        </w:rPr>
        <w:t>220</w:t>
      </w:r>
      <w:r>
        <w:rPr>
          <w:rFonts w:hint="default" w:ascii="Times New Roman" w:hAnsi="Times New Roman" w:eastAsia="仿宋_GB2312" w:cs="Times New Roman"/>
          <w:color w:val="auto"/>
          <w:highlight w:val="none"/>
          <w:lang w:val="en-US" w:eastAsia="zh-CN"/>
        </w:rPr>
        <w:t>万元；</w:t>
      </w:r>
      <w:r>
        <w:rPr>
          <w:rFonts w:hint="eastAsia" w:ascii="Times New Roman" w:hAnsi="Times New Roman" w:eastAsia="仿宋_GB2312" w:cs="Times New Roman"/>
          <w:color w:val="auto"/>
          <w:highlight w:val="none"/>
          <w:lang w:val="en-US" w:eastAsia="zh-CN"/>
        </w:rPr>
        <w:t>商业服务业等支出32</w:t>
      </w:r>
      <w:r>
        <w:rPr>
          <w:rFonts w:hint="default" w:ascii="Times New Roman" w:hAnsi="Times New Roman" w:eastAsia="仿宋_GB2312" w:cs="Times New Roman"/>
          <w:color w:val="auto"/>
          <w:highlight w:val="none"/>
          <w:lang w:val="en-US" w:eastAsia="zh-CN"/>
        </w:rPr>
        <w:t>万元；债务</w:t>
      </w:r>
      <w:r>
        <w:rPr>
          <w:rFonts w:hint="eastAsia" w:ascii="Times New Roman" w:hAnsi="Times New Roman" w:eastAsia="仿宋_GB2312" w:cs="Times New Roman"/>
          <w:color w:val="auto"/>
          <w:highlight w:val="none"/>
          <w:lang w:val="en-US" w:eastAsia="zh-CN"/>
        </w:rPr>
        <w:t>还本</w:t>
      </w:r>
      <w:r>
        <w:rPr>
          <w:rFonts w:hint="default" w:ascii="Times New Roman" w:hAnsi="Times New Roman" w:eastAsia="仿宋_GB2312" w:cs="Times New Roman"/>
          <w:color w:val="auto"/>
          <w:highlight w:val="none"/>
          <w:lang w:val="en-US" w:eastAsia="zh-CN"/>
        </w:rPr>
        <w:t>付息支出</w:t>
      </w:r>
      <w:r>
        <w:rPr>
          <w:rFonts w:hint="eastAsia" w:ascii="Times New Roman" w:hAnsi="Times New Roman" w:eastAsia="仿宋_GB2312" w:cs="Times New Roman"/>
          <w:color w:val="auto"/>
          <w:highlight w:val="none"/>
          <w:lang w:val="en-US" w:eastAsia="zh-CN"/>
        </w:rPr>
        <w:t>650</w:t>
      </w:r>
      <w:r>
        <w:rPr>
          <w:rFonts w:hint="default" w:ascii="Times New Roman" w:hAnsi="Times New Roman" w:eastAsia="仿宋_GB2312" w:cs="Times New Roman"/>
          <w:color w:val="auto"/>
          <w:highlight w:val="none"/>
          <w:lang w:val="en-US" w:eastAsia="zh-CN"/>
        </w:rPr>
        <w:t>万元。</w:t>
      </w:r>
    </w:p>
    <w:p>
      <w:pPr>
        <w:ind w:firstLine="632" w:firstLineChars="200"/>
        <w:rPr>
          <w:rFonts w:hint="eastAsia" w:eastAsia="仿宋_GB2312"/>
          <w:b/>
          <w:bCs/>
          <w:color w:val="000000"/>
          <w:lang w:val="en-US" w:eastAsia="zh-CN"/>
        </w:rPr>
      </w:pPr>
      <w:r>
        <w:rPr>
          <w:rFonts w:hint="eastAsia" w:eastAsia="仿宋_GB2312"/>
          <w:b/>
          <w:bCs/>
          <w:color w:val="000000"/>
          <w:lang w:val="en-US" w:eastAsia="zh-CN"/>
        </w:rPr>
        <w:t>3.预算收支平衡情况</w:t>
      </w:r>
    </w:p>
    <w:p>
      <w:pPr>
        <w:ind w:firstLine="632" w:firstLineChars="200"/>
        <w:rPr>
          <w:rFonts w:eastAsia="仿宋_GB2312"/>
        </w:rPr>
      </w:pPr>
      <w:r>
        <w:rPr>
          <w:rFonts w:eastAsia="仿宋_GB2312"/>
          <w:color w:val="000000"/>
        </w:rPr>
        <w:t>全</w:t>
      </w:r>
      <w:r>
        <w:rPr>
          <w:rFonts w:hint="eastAsia" w:eastAsia="仿宋_GB2312"/>
          <w:color w:val="000000"/>
          <w:lang w:eastAsia="zh-CN"/>
        </w:rPr>
        <w:t>区</w:t>
      </w:r>
      <w:r>
        <w:rPr>
          <w:rFonts w:eastAsia="仿宋_GB2312"/>
          <w:color w:val="000000"/>
        </w:rPr>
        <w:t>一般公共预算收入</w:t>
      </w:r>
      <w:r>
        <w:rPr>
          <w:rFonts w:hint="eastAsia" w:eastAsia="仿宋_GB2312"/>
          <w:color w:val="000000"/>
          <w:lang w:val="en-US" w:eastAsia="zh-CN"/>
        </w:rPr>
        <w:t>69355</w:t>
      </w:r>
      <w:r>
        <w:rPr>
          <w:rFonts w:eastAsia="仿宋_GB2312"/>
          <w:color w:val="000000"/>
        </w:rPr>
        <w:t>万元，</w:t>
      </w:r>
      <w:r>
        <w:rPr>
          <w:rFonts w:hint="eastAsia" w:eastAsia="仿宋_GB2312"/>
          <w:color w:val="000000"/>
          <w:lang w:eastAsia="zh-CN"/>
        </w:rPr>
        <w:t>上级各项财政补助收入</w:t>
      </w:r>
      <w:r>
        <w:rPr>
          <w:rFonts w:hint="eastAsia" w:eastAsia="仿宋_GB2312"/>
          <w:color w:val="000000"/>
          <w:lang w:val="en-US" w:eastAsia="zh-CN"/>
        </w:rPr>
        <w:t>22624万元，收入总计91979万元；</w:t>
      </w:r>
      <w:r>
        <w:rPr>
          <w:rFonts w:eastAsia="仿宋_GB2312"/>
          <w:color w:val="000000"/>
        </w:rPr>
        <w:t>一般公共预算支出</w:t>
      </w:r>
      <w:r>
        <w:rPr>
          <w:rFonts w:hint="eastAsia" w:eastAsia="仿宋_GB2312"/>
          <w:color w:val="000000"/>
          <w:lang w:val="en-US" w:eastAsia="zh-CN"/>
        </w:rPr>
        <w:t>54867</w:t>
      </w:r>
      <w:r>
        <w:rPr>
          <w:rFonts w:eastAsia="仿宋_GB2312"/>
          <w:color w:val="000000"/>
        </w:rPr>
        <w:t>万元，</w:t>
      </w:r>
      <w:r>
        <w:rPr>
          <w:rFonts w:hint="eastAsia" w:eastAsia="仿宋_GB2312"/>
          <w:lang w:eastAsia="zh-CN"/>
        </w:rPr>
        <w:t>上解上级财政支出</w:t>
      </w:r>
      <w:r>
        <w:rPr>
          <w:rFonts w:hint="eastAsia" w:eastAsia="仿宋_GB2312"/>
          <w:lang w:val="en-US" w:eastAsia="zh-CN"/>
        </w:rPr>
        <w:t>37112万元，支出总计91979万元</w:t>
      </w:r>
      <w:r>
        <w:rPr>
          <w:rFonts w:eastAsia="仿宋_GB2312"/>
        </w:rPr>
        <w:t>，实现收支平衡。</w:t>
      </w:r>
    </w:p>
    <w:p>
      <w:pPr>
        <w:adjustRightInd w:val="0"/>
        <w:snapToGrid w:val="0"/>
        <w:jc w:val="center"/>
        <w:rPr>
          <w:rFonts w:eastAsia="黑体"/>
          <w:color w:val="000000"/>
          <w:sz w:val="28"/>
          <w:szCs w:val="28"/>
        </w:rPr>
      </w:pPr>
      <w:r>
        <w:rPr>
          <w:rFonts w:hint="eastAsia" w:eastAsia="黑体"/>
          <w:color w:val="000000"/>
          <w:sz w:val="28"/>
          <w:szCs w:val="28"/>
          <w:lang w:val="en-US" w:eastAsia="zh-CN"/>
        </w:rPr>
        <w:t>2022</w:t>
      </w:r>
      <w:r>
        <w:rPr>
          <w:rFonts w:eastAsia="黑体"/>
          <w:color w:val="000000"/>
          <w:sz w:val="28"/>
          <w:szCs w:val="28"/>
        </w:rPr>
        <w:t>年一般公共预算收支平衡测算表</w:t>
      </w:r>
    </w:p>
    <w:p>
      <w:pPr>
        <w:adjustRightInd w:val="0"/>
        <w:snapToGrid w:val="0"/>
        <w:ind w:firstLine="352" w:firstLineChars="200"/>
        <w:rPr>
          <w:rFonts w:eastAsia="仿宋_GB2312"/>
          <w:color w:val="0000FF"/>
        </w:rPr>
      </w:pPr>
      <w:r>
        <w:rPr>
          <w:rFonts w:eastAsia="黑体"/>
          <w:color w:val="000000"/>
          <w:sz w:val="18"/>
          <w:szCs w:val="18"/>
        </w:rPr>
        <w:t xml:space="preserve">                                                                            </w:t>
      </w:r>
      <w:r>
        <w:rPr>
          <w:color w:val="000000"/>
          <w:sz w:val="18"/>
          <w:szCs w:val="18"/>
        </w:rPr>
        <w:t xml:space="preserve">        单位：万元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8"/>
        <w:gridCol w:w="1215"/>
        <w:gridCol w:w="3051"/>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958" w:type="dxa"/>
            <w:noWrap w:val="0"/>
            <w:vAlign w:val="top"/>
          </w:tcPr>
          <w:p>
            <w:pPr>
              <w:adjustRightInd w:val="0"/>
              <w:snapToGrid w:val="0"/>
              <w:jc w:val="center"/>
              <w:rPr>
                <w:rFonts w:eastAsia="黑体"/>
                <w:color w:val="000000"/>
                <w:sz w:val="24"/>
                <w:szCs w:val="24"/>
              </w:rPr>
            </w:pPr>
            <w:r>
              <w:rPr>
                <w:rFonts w:eastAsia="黑体"/>
                <w:color w:val="000000"/>
                <w:sz w:val="24"/>
                <w:szCs w:val="24"/>
              </w:rPr>
              <w:t>收入</w:t>
            </w:r>
          </w:p>
        </w:tc>
        <w:tc>
          <w:tcPr>
            <w:tcW w:w="1215" w:type="dxa"/>
            <w:noWrap w:val="0"/>
            <w:vAlign w:val="top"/>
          </w:tcPr>
          <w:p>
            <w:pPr>
              <w:adjustRightInd w:val="0"/>
              <w:snapToGrid w:val="0"/>
              <w:jc w:val="center"/>
              <w:rPr>
                <w:rFonts w:eastAsia="黑体"/>
                <w:color w:val="000000"/>
                <w:sz w:val="24"/>
                <w:szCs w:val="24"/>
              </w:rPr>
            </w:pPr>
            <w:r>
              <w:rPr>
                <w:rFonts w:eastAsia="黑体"/>
                <w:color w:val="000000"/>
                <w:sz w:val="24"/>
                <w:szCs w:val="24"/>
              </w:rPr>
              <w:t>数额</w:t>
            </w:r>
          </w:p>
        </w:tc>
        <w:tc>
          <w:tcPr>
            <w:tcW w:w="3051" w:type="dxa"/>
            <w:noWrap w:val="0"/>
            <w:vAlign w:val="top"/>
          </w:tcPr>
          <w:p>
            <w:pPr>
              <w:adjustRightInd w:val="0"/>
              <w:snapToGrid w:val="0"/>
              <w:jc w:val="center"/>
              <w:rPr>
                <w:rFonts w:eastAsia="黑体"/>
                <w:color w:val="000000"/>
                <w:sz w:val="24"/>
                <w:szCs w:val="24"/>
              </w:rPr>
            </w:pPr>
            <w:r>
              <w:rPr>
                <w:rFonts w:eastAsia="黑体"/>
                <w:color w:val="000000"/>
                <w:sz w:val="24"/>
                <w:szCs w:val="24"/>
              </w:rPr>
              <w:t>支出</w:t>
            </w:r>
          </w:p>
        </w:tc>
        <w:tc>
          <w:tcPr>
            <w:tcW w:w="1452" w:type="dxa"/>
            <w:noWrap w:val="0"/>
            <w:vAlign w:val="top"/>
          </w:tcPr>
          <w:p>
            <w:pPr>
              <w:adjustRightInd w:val="0"/>
              <w:snapToGrid w:val="0"/>
              <w:jc w:val="center"/>
              <w:rPr>
                <w:rFonts w:eastAsia="黑体"/>
                <w:color w:val="000000"/>
                <w:sz w:val="24"/>
                <w:szCs w:val="24"/>
              </w:rPr>
            </w:pPr>
            <w:r>
              <w:rPr>
                <w:rFonts w:eastAsia="黑体"/>
                <w:color w:val="000000"/>
                <w:sz w:val="24"/>
                <w:szCs w:val="24"/>
              </w:rPr>
              <w:t>数额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958" w:type="dxa"/>
            <w:noWrap w:val="0"/>
            <w:vAlign w:val="top"/>
          </w:tcPr>
          <w:p>
            <w:pPr>
              <w:adjustRightInd w:val="0"/>
              <w:snapToGrid w:val="0"/>
              <w:jc w:val="left"/>
              <w:rPr>
                <w:color w:val="000000"/>
                <w:sz w:val="24"/>
                <w:szCs w:val="24"/>
              </w:rPr>
            </w:pPr>
            <w:r>
              <w:rPr>
                <w:rFonts w:hint="eastAsia" w:ascii="Times New Roman" w:hAnsi="Times New Roman" w:cs="Times New Roman"/>
                <w:color w:val="000000"/>
                <w:sz w:val="24"/>
                <w:szCs w:val="24"/>
                <w:highlight w:val="none"/>
                <w:lang w:eastAsia="zh-CN"/>
              </w:rPr>
              <w:t>一般公共预算收入</w:t>
            </w:r>
          </w:p>
        </w:tc>
        <w:tc>
          <w:tcPr>
            <w:tcW w:w="1215" w:type="dxa"/>
            <w:noWrap w:val="0"/>
            <w:vAlign w:val="top"/>
          </w:tcPr>
          <w:p>
            <w:pPr>
              <w:adjustRightInd w:val="0"/>
              <w:snapToGrid w:val="0"/>
              <w:jc w:val="center"/>
              <w:rPr>
                <w:rFonts w:hint="default" w:eastAsia="宋体"/>
                <w:color w:val="000000"/>
                <w:sz w:val="24"/>
                <w:szCs w:val="24"/>
                <w:lang w:val="en-US" w:eastAsia="zh-CN"/>
              </w:rPr>
            </w:pPr>
            <w:r>
              <w:rPr>
                <w:rFonts w:hint="eastAsia" w:eastAsia="宋体"/>
                <w:color w:val="000000"/>
                <w:sz w:val="24"/>
                <w:szCs w:val="24"/>
                <w:lang w:val="en-US" w:eastAsia="zh-CN"/>
              </w:rPr>
              <w:t>69355</w:t>
            </w:r>
          </w:p>
        </w:tc>
        <w:tc>
          <w:tcPr>
            <w:tcW w:w="3051" w:type="dxa"/>
            <w:noWrap w:val="0"/>
            <w:vAlign w:val="top"/>
          </w:tcPr>
          <w:p>
            <w:pPr>
              <w:adjustRightInd w:val="0"/>
              <w:snapToGrid w:val="0"/>
              <w:jc w:val="left"/>
              <w:rPr>
                <w:color w:val="000000"/>
                <w:sz w:val="24"/>
                <w:szCs w:val="24"/>
              </w:rPr>
            </w:pPr>
            <w:r>
              <w:rPr>
                <w:rFonts w:hint="eastAsia"/>
                <w:color w:val="000000"/>
                <w:sz w:val="24"/>
                <w:szCs w:val="24"/>
              </w:rPr>
              <w:t>一般公共预算支出</w:t>
            </w:r>
          </w:p>
        </w:tc>
        <w:tc>
          <w:tcPr>
            <w:tcW w:w="1452" w:type="dxa"/>
            <w:noWrap w:val="0"/>
            <w:vAlign w:val="top"/>
          </w:tcPr>
          <w:p>
            <w:pPr>
              <w:adjustRightInd w:val="0"/>
              <w:snapToGrid w:val="0"/>
              <w:jc w:val="center"/>
              <w:rPr>
                <w:rFonts w:hint="default" w:eastAsia="宋体"/>
                <w:color w:val="000000"/>
                <w:sz w:val="24"/>
                <w:szCs w:val="24"/>
                <w:lang w:val="en-US" w:eastAsia="zh-CN"/>
              </w:rPr>
            </w:pPr>
            <w:r>
              <w:rPr>
                <w:rFonts w:hint="eastAsia" w:eastAsia="宋体"/>
                <w:color w:val="000000"/>
                <w:sz w:val="24"/>
                <w:szCs w:val="24"/>
                <w:lang w:val="en-US" w:eastAsia="zh-CN"/>
              </w:rPr>
              <w:t>54867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958" w:type="dxa"/>
            <w:noWrap w:val="0"/>
            <w:vAlign w:val="top"/>
          </w:tcPr>
          <w:p>
            <w:pPr>
              <w:adjustRightInd w:val="0"/>
              <w:snapToGrid w:val="0"/>
              <w:jc w:val="left"/>
              <w:rPr>
                <w:color w:val="000000"/>
                <w:sz w:val="24"/>
                <w:szCs w:val="24"/>
              </w:rPr>
            </w:pPr>
            <w:r>
              <w:rPr>
                <w:rFonts w:hint="eastAsia"/>
                <w:color w:val="000000"/>
                <w:sz w:val="24"/>
                <w:szCs w:val="24"/>
              </w:rPr>
              <w:t>上级补助收入</w:t>
            </w:r>
          </w:p>
        </w:tc>
        <w:tc>
          <w:tcPr>
            <w:tcW w:w="1215" w:type="dxa"/>
            <w:noWrap w:val="0"/>
            <w:vAlign w:val="top"/>
          </w:tcPr>
          <w:p>
            <w:pPr>
              <w:adjustRightInd w:val="0"/>
              <w:snapToGrid w:val="0"/>
              <w:jc w:val="center"/>
              <w:rPr>
                <w:rFonts w:hint="default" w:eastAsia="宋体"/>
                <w:color w:val="000000"/>
                <w:sz w:val="24"/>
                <w:szCs w:val="24"/>
                <w:lang w:val="en-US" w:eastAsia="zh-CN"/>
              </w:rPr>
            </w:pPr>
            <w:r>
              <w:rPr>
                <w:rFonts w:hint="eastAsia" w:eastAsia="宋体"/>
                <w:color w:val="000000"/>
                <w:sz w:val="24"/>
                <w:szCs w:val="24"/>
                <w:lang w:val="en-US" w:eastAsia="zh-CN"/>
              </w:rPr>
              <w:t>22624</w:t>
            </w:r>
          </w:p>
        </w:tc>
        <w:tc>
          <w:tcPr>
            <w:tcW w:w="3051" w:type="dxa"/>
            <w:noWrap w:val="0"/>
            <w:vAlign w:val="top"/>
          </w:tcPr>
          <w:p>
            <w:pPr>
              <w:adjustRightInd w:val="0"/>
              <w:snapToGrid w:val="0"/>
              <w:jc w:val="left"/>
              <w:rPr>
                <w:color w:val="000000"/>
                <w:sz w:val="24"/>
                <w:szCs w:val="24"/>
              </w:rPr>
            </w:pPr>
            <w:r>
              <w:rPr>
                <w:rFonts w:hint="eastAsia"/>
                <w:color w:val="000000"/>
                <w:sz w:val="24"/>
                <w:szCs w:val="24"/>
              </w:rPr>
              <w:t>上解支出</w:t>
            </w:r>
          </w:p>
        </w:tc>
        <w:tc>
          <w:tcPr>
            <w:tcW w:w="1452" w:type="dxa"/>
            <w:noWrap w:val="0"/>
            <w:vAlign w:val="top"/>
          </w:tcPr>
          <w:p>
            <w:pPr>
              <w:adjustRightInd w:val="0"/>
              <w:snapToGrid w:val="0"/>
              <w:jc w:val="center"/>
              <w:rPr>
                <w:rFonts w:hint="default" w:eastAsia="宋体"/>
                <w:color w:val="000000"/>
                <w:sz w:val="24"/>
                <w:szCs w:val="24"/>
                <w:lang w:val="en-US" w:eastAsia="zh-CN"/>
              </w:rPr>
            </w:pPr>
            <w:r>
              <w:rPr>
                <w:rFonts w:hint="eastAsia" w:eastAsia="宋体"/>
                <w:color w:val="000000"/>
                <w:sz w:val="24"/>
                <w:szCs w:val="24"/>
                <w:lang w:val="en-US" w:eastAsia="zh-CN"/>
              </w:rPr>
              <w:t>37112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958" w:type="dxa"/>
            <w:noWrap w:val="0"/>
            <w:vAlign w:val="top"/>
          </w:tcPr>
          <w:p>
            <w:pPr>
              <w:adjustRightInd w:val="0"/>
              <w:snapToGrid w:val="0"/>
              <w:jc w:val="center"/>
              <w:rPr>
                <w:b/>
                <w:bCs/>
                <w:color w:val="000000"/>
                <w:sz w:val="24"/>
                <w:szCs w:val="24"/>
              </w:rPr>
            </w:pPr>
            <w:r>
              <w:rPr>
                <w:b/>
                <w:bCs/>
                <w:color w:val="000000"/>
                <w:sz w:val="24"/>
                <w:szCs w:val="24"/>
              </w:rPr>
              <w:t>收入总计</w:t>
            </w:r>
          </w:p>
        </w:tc>
        <w:tc>
          <w:tcPr>
            <w:tcW w:w="1215" w:type="dxa"/>
            <w:noWrap w:val="0"/>
            <w:vAlign w:val="top"/>
          </w:tcPr>
          <w:p>
            <w:pPr>
              <w:adjustRightInd w:val="0"/>
              <w:snapToGrid w:val="0"/>
              <w:jc w:val="center"/>
              <w:rPr>
                <w:rFonts w:hint="default" w:eastAsia="宋体"/>
                <w:b/>
                <w:bCs/>
                <w:color w:val="000000"/>
                <w:sz w:val="24"/>
                <w:szCs w:val="24"/>
                <w:lang w:val="en-US" w:eastAsia="zh-CN"/>
              </w:rPr>
            </w:pPr>
            <w:r>
              <w:rPr>
                <w:rFonts w:hint="eastAsia" w:eastAsia="宋体"/>
                <w:b/>
                <w:bCs/>
                <w:color w:val="000000"/>
                <w:sz w:val="24"/>
                <w:szCs w:val="24"/>
                <w:lang w:val="en-US" w:eastAsia="zh-CN"/>
              </w:rPr>
              <w:t>91979</w:t>
            </w:r>
          </w:p>
        </w:tc>
        <w:tc>
          <w:tcPr>
            <w:tcW w:w="3051" w:type="dxa"/>
            <w:noWrap w:val="0"/>
            <w:vAlign w:val="top"/>
          </w:tcPr>
          <w:p>
            <w:pPr>
              <w:adjustRightInd w:val="0"/>
              <w:snapToGrid w:val="0"/>
              <w:jc w:val="center"/>
              <w:rPr>
                <w:b/>
                <w:bCs/>
                <w:color w:val="000000"/>
                <w:sz w:val="24"/>
                <w:szCs w:val="24"/>
              </w:rPr>
            </w:pPr>
            <w:r>
              <w:rPr>
                <w:b/>
                <w:bCs/>
                <w:color w:val="000000"/>
                <w:sz w:val="24"/>
                <w:szCs w:val="24"/>
              </w:rPr>
              <w:t>支出总计</w:t>
            </w:r>
          </w:p>
        </w:tc>
        <w:tc>
          <w:tcPr>
            <w:tcW w:w="1452" w:type="dxa"/>
            <w:noWrap w:val="0"/>
            <w:vAlign w:val="top"/>
          </w:tcPr>
          <w:p>
            <w:pPr>
              <w:adjustRightInd w:val="0"/>
              <w:snapToGrid w:val="0"/>
              <w:jc w:val="center"/>
              <w:rPr>
                <w:rFonts w:hint="default" w:eastAsia="宋体"/>
                <w:b/>
                <w:bCs/>
                <w:color w:val="000000"/>
                <w:sz w:val="24"/>
                <w:szCs w:val="24"/>
                <w:lang w:val="en-US" w:eastAsia="zh-CN"/>
              </w:rPr>
            </w:pPr>
            <w:r>
              <w:rPr>
                <w:rFonts w:hint="eastAsia" w:eastAsia="宋体"/>
                <w:b/>
                <w:bCs/>
                <w:color w:val="000000"/>
                <w:sz w:val="24"/>
                <w:szCs w:val="24"/>
                <w:lang w:val="en-US" w:eastAsia="zh-CN"/>
              </w:rPr>
              <w:t>91979</w:t>
            </w:r>
          </w:p>
        </w:tc>
      </w:tr>
    </w:tbl>
    <w:p>
      <w:pPr>
        <w:adjustRightInd w:val="0"/>
        <w:snapToGrid w:val="0"/>
        <w:ind w:firstLine="412" w:firstLineChars="200"/>
        <w:jc w:val="right"/>
        <w:rPr>
          <w:color w:val="000000"/>
          <w:sz w:val="21"/>
          <w:szCs w:val="21"/>
        </w:rPr>
      </w:pPr>
    </w:p>
    <w:p>
      <w:pPr>
        <w:ind w:firstLine="632" w:firstLineChars="200"/>
        <w:rPr>
          <w:rFonts w:hint="eastAsia" w:ascii="Times New Roman" w:hAnsi="Times New Roman" w:eastAsia="仿宋_GB2312" w:cs="Times New Roman"/>
          <w:b/>
          <w:bCs/>
          <w:color w:val="000000"/>
          <w:lang w:val="en-US" w:eastAsia="zh-CN"/>
        </w:rPr>
      </w:pPr>
      <w:r>
        <w:rPr>
          <w:rFonts w:hint="eastAsia" w:ascii="Times New Roman" w:hAnsi="Times New Roman" w:eastAsia="仿宋_GB2312" w:cs="Times New Roman"/>
          <w:b/>
          <w:bCs/>
          <w:color w:val="000000"/>
          <w:lang w:val="en-US" w:eastAsia="zh-CN"/>
        </w:rPr>
        <w:t>（二）政府性基金预算收支安排情况</w:t>
      </w:r>
    </w:p>
    <w:p>
      <w:pPr>
        <w:adjustRightInd w:val="0"/>
        <w:snapToGrid w:val="0"/>
        <w:spacing w:line="600" w:lineRule="exact"/>
        <w:ind w:firstLine="632" w:firstLineChars="200"/>
        <w:rPr>
          <w:rFonts w:eastAsia="仿宋_GB2312"/>
          <w:color w:val="000000"/>
        </w:rPr>
      </w:pPr>
      <w:r>
        <w:rPr>
          <w:rFonts w:hint="default" w:ascii="Times New Roman" w:hAnsi="Times New Roman" w:eastAsia="仿宋_GB2312" w:cs="Times New Roman"/>
          <w:b w:val="0"/>
          <w:bCs/>
          <w:color w:val="000000"/>
          <w:lang w:val="en-US" w:eastAsia="zh-CN"/>
        </w:rPr>
        <w:t>202</w:t>
      </w:r>
      <w:r>
        <w:rPr>
          <w:rFonts w:hint="eastAsia" w:ascii="Times New Roman" w:hAnsi="Times New Roman" w:eastAsia="仿宋_GB2312" w:cs="Times New Roman"/>
          <w:b w:val="0"/>
          <w:bCs/>
          <w:color w:val="000000"/>
          <w:lang w:val="en-US" w:eastAsia="zh-CN"/>
        </w:rPr>
        <w:t>2</w:t>
      </w:r>
      <w:r>
        <w:rPr>
          <w:rFonts w:hint="eastAsia" w:ascii="仿宋_GB2312" w:hAnsi="仿宋_GB2312" w:eastAsia="仿宋_GB2312" w:cs="仿宋_GB2312"/>
          <w:b w:val="0"/>
          <w:bCs/>
          <w:color w:val="000000"/>
          <w:lang w:val="en-US" w:eastAsia="zh-CN"/>
        </w:rPr>
        <w:t>年，</w:t>
      </w:r>
      <w:r>
        <w:rPr>
          <w:rFonts w:hint="eastAsia" w:ascii="仿宋_GB2312" w:hAnsi="仿宋_GB2312" w:eastAsia="仿宋_GB2312" w:cs="仿宋_GB2312"/>
          <w:b w:val="0"/>
          <w:bCs/>
          <w:color w:val="000000"/>
        </w:rPr>
        <w:t>全</w:t>
      </w:r>
      <w:r>
        <w:rPr>
          <w:rFonts w:hint="eastAsia" w:ascii="仿宋_GB2312" w:hAnsi="仿宋_GB2312" w:eastAsia="仿宋_GB2312" w:cs="仿宋_GB2312"/>
          <w:b w:val="0"/>
          <w:bCs/>
          <w:color w:val="000000"/>
          <w:lang w:eastAsia="zh-CN"/>
        </w:rPr>
        <w:t>区</w:t>
      </w:r>
      <w:r>
        <w:rPr>
          <w:rFonts w:hint="eastAsia" w:ascii="仿宋_GB2312" w:hAnsi="仿宋_GB2312" w:eastAsia="仿宋_GB2312" w:cs="仿宋_GB2312"/>
          <w:b w:val="0"/>
          <w:bCs/>
          <w:color w:val="000000"/>
        </w:rPr>
        <w:t>政府性基金预算收入安排</w:t>
      </w:r>
      <w:r>
        <w:rPr>
          <w:rFonts w:hint="eastAsia" w:ascii="Times New Roman" w:hAnsi="Times New Roman" w:eastAsia="仿宋_GB2312" w:cs="Times New Roman"/>
          <w:b w:val="0"/>
          <w:bCs/>
          <w:color w:val="000000"/>
          <w:lang w:val="en-US" w:eastAsia="zh-CN"/>
        </w:rPr>
        <w:t>30000</w:t>
      </w:r>
      <w:r>
        <w:rPr>
          <w:rFonts w:hint="eastAsia" w:ascii="仿宋_GB2312" w:hAnsi="仿宋_GB2312" w:eastAsia="仿宋_GB2312" w:cs="仿宋_GB2312"/>
          <w:b w:val="0"/>
          <w:bCs/>
          <w:color w:val="000000"/>
        </w:rPr>
        <w:t>万元，</w:t>
      </w:r>
      <w:r>
        <w:rPr>
          <w:rFonts w:hint="eastAsia" w:ascii="仿宋_GB2312" w:hAnsi="仿宋_GB2312" w:eastAsia="仿宋_GB2312" w:cs="仿宋_GB2312"/>
          <w:b w:val="0"/>
          <w:bCs/>
          <w:color w:val="000000"/>
          <w:lang w:eastAsia="zh-CN"/>
        </w:rPr>
        <w:t>同比增长</w:t>
      </w:r>
      <w:r>
        <w:rPr>
          <w:rFonts w:hint="eastAsia" w:eastAsia="仿宋_GB2312"/>
          <w:color w:val="000000"/>
          <w:lang w:val="en-US" w:eastAsia="zh-CN"/>
        </w:rPr>
        <w:t>131.2</w:t>
      </w:r>
      <w:r>
        <w:rPr>
          <w:rFonts w:hint="default" w:eastAsia="仿宋_GB2312"/>
          <w:color w:val="000000"/>
          <w:lang w:val="en-US" w:eastAsia="zh-CN"/>
        </w:rPr>
        <w:t>%</w:t>
      </w:r>
      <w:r>
        <w:rPr>
          <w:rFonts w:hint="eastAsia" w:eastAsia="仿宋_GB2312"/>
          <w:color w:val="000000"/>
          <w:lang w:val="en-US" w:eastAsia="zh-CN"/>
        </w:rPr>
        <w:t>；</w:t>
      </w:r>
      <w:r>
        <w:rPr>
          <w:rFonts w:hint="eastAsia" w:eastAsia="仿宋_GB2312"/>
          <w:color w:val="000000"/>
          <w:lang w:eastAsia="zh-CN"/>
        </w:rPr>
        <w:t>全区政府性基金支出</w:t>
      </w:r>
      <w:r>
        <w:rPr>
          <w:rFonts w:eastAsia="仿宋_GB2312"/>
          <w:color w:val="000000"/>
        </w:rPr>
        <w:t>安排</w:t>
      </w:r>
      <w:r>
        <w:rPr>
          <w:rFonts w:hint="eastAsia" w:eastAsia="仿宋_GB2312"/>
          <w:color w:val="000000"/>
          <w:lang w:val="en-US" w:eastAsia="zh-CN"/>
        </w:rPr>
        <w:t>30000</w:t>
      </w:r>
      <w:r>
        <w:rPr>
          <w:rFonts w:eastAsia="仿宋_GB2312"/>
          <w:color w:val="000000"/>
        </w:rPr>
        <w:t>万元，</w:t>
      </w:r>
      <w:r>
        <w:rPr>
          <w:rFonts w:hint="eastAsia" w:ascii="仿宋_GB2312" w:hAnsi="仿宋_GB2312" w:eastAsia="仿宋_GB2312" w:cs="仿宋_GB2312"/>
          <w:b w:val="0"/>
          <w:bCs/>
          <w:color w:val="000000"/>
          <w:lang w:eastAsia="zh-CN"/>
        </w:rPr>
        <w:t>同比增长</w:t>
      </w:r>
      <w:r>
        <w:rPr>
          <w:rFonts w:hint="eastAsia" w:eastAsia="仿宋_GB2312"/>
          <w:color w:val="000000"/>
          <w:lang w:val="en-US" w:eastAsia="zh-CN"/>
        </w:rPr>
        <w:t>117.3</w:t>
      </w:r>
      <w:r>
        <w:rPr>
          <w:rFonts w:hint="default" w:eastAsia="仿宋_GB2312"/>
          <w:color w:val="000000"/>
          <w:lang w:val="en-US" w:eastAsia="zh-CN"/>
        </w:rPr>
        <w:t>%</w:t>
      </w:r>
      <w:r>
        <w:rPr>
          <w:rFonts w:hint="eastAsia" w:eastAsia="仿宋_GB2312"/>
          <w:color w:val="000000"/>
          <w:lang w:eastAsia="zh-CN"/>
        </w:rPr>
        <w:t>，全年收支平衡</w:t>
      </w:r>
      <w:r>
        <w:rPr>
          <w:rFonts w:eastAsia="仿宋_GB2312"/>
          <w:color w:val="000000"/>
        </w:rPr>
        <w:t>。</w:t>
      </w:r>
    </w:p>
    <w:p>
      <w:pPr>
        <w:ind w:firstLine="632" w:firstLineChars="200"/>
        <w:rPr>
          <w:rFonts w:hint="eastAsia" w:ascii="Times New Roman" w:hAnsi="Times New Roman" w:eastAsia="仿宋_GB2312" w:cs="Times New Roman"/>
          <w:b/>
          <w:bCs/>
          <w:color w:val="000000"/>
          <w:lang w:val="en-US" w:eastAsia="zh-CN"/>
        </w:rPr>
      </w:pPr>
      <w:r>
        <w:rPr>
          <w:rFonts w:hint="eastAsia" w:ascii="Times New Roman" w:hAnsi="Times New Roman" w:eastAsia="仿宋_GB2312" w:cs="Times New Roman"/>
          <w:b/>
          <w:bCs/>
          <w:color w:val="000000"/>
          <w:lang w:val="en-US" w:eastAsia="zh-CN"/>
        </w:rPr>
        <w:t>（三）国有资本经营预算收支安排情况</w:t>
      </w:r>
    </w:p>
    <w:p>
      <w:pPr>
        <w:adjustRightInd w:val="0"/>
        <w:snapToGrid w:val="0"/>
        <w:spacing w:line="600" w:lineRule="exact"/>
        <w:ind w:firstLine="615"/>
        <w:rPr>
          <w:rFonts w:hint="eastAsia" w:ascii="楷体_GB2312" w:hAnsi="楷体_GB2312" w:eastAsia="楷体_GB2312" w:cs="楷体_GB2312"/>
          <w:b/>
          <w:color w:val="000000"/>
        </w:rPr>
      </w:pPr>
      <w:r>
        <w:rPr>
          <w:rFonts w:hint="default" w:ascii="Times New Roman" w:hAnsi="Times New Roman" w:eastAsia="仿宋_GB2312" w:cs="Times New Roman"/>
        </w:rPr>
        <w:t>20</w:t>
      </w:r>
      <w:r>
        <w:rPr>
          <w:rFonts w:hint="eastAsia" w:ascii="Times New Roman" w:hAnsi="Times New Roman" w:eastAsia="仿宋_GB2312" w:cs="Times New Roman"/>
          <w:lang w:val="en-US" w:eastAsia="zh-CN"/>
        </w:rPr>
        <w:t>22</w:t>
      </w:r>
      <w:r>
        <w:rPr>
          <w:rFonts w:hint="eastAsia" w:ascii="仿宋_GB2312" w:eastAsia="仿宋_GB2312"/>
        </w:rPr>
        <w:t>年，</w:t>
      </w:r>
      <w:r>
        <w:rPr>
          <w:rFonts w:hint="eastAsia" w:ascii="仿宋_GB2312" w:eastAsia="仿宋_GB2312"/>
          <w:lang w:eastAsia="zh-CN"/>
        </w:rPr>
        <w:t>国有资本经营预算</w:t>
      </w:r>
      <w:r>
        <w:rPr>
          <w:rFonts w:hint="eastAsia" w:ascii="仿宋_GB2312" w:eastAsia="仿宋_GB2312"/>
        </w:rPr>
        <w:t>收入</w:t>
      </w:r>
      <w:r>
        <w:rPr>
          <w:rFonts w:hint="eastAsia" w:ascii="仿宋_GB2312" w:eastAsia="仿宋_GB2312"/>
          <w:lang w:eastAsia="zh-CN"/>
        </w:rPr>
        <w:t>与支出区本级未安排预算</w:t>
      </w:r>
      <w:r>
        <w:rPr>
          <w:rFonts w:hint="eastAsia" w:ascii="仿宋_GB2312" w:eastAsia="仿宋_GB2312"/>
        </w:rPr>
        <w:t>。</w:t>
      </w:r>
    </w:p>
    <w:p>
      <w:pPr>
        <w:adjustRightInd w:val="0"/>
        <w:snapToGrid w:val="0"/>
        <w:spacing w:line="600" w:lineRule="exact"/>
        <w:ind w:firstLine="632" w:firstLineChars="200"/>
        <w:rPr>
          <w:rFonts w:hint="eastAsia" w:ascii="楷体_GB2312" w:hAnsi="楷体_GB2312" w:eastAsia="楷体_GB2312" w:cs="楷体_GB2312"/>
          <w:b/>
          <w:color w:val="000000"/>
        </w:rPr>
      </w:pPr>
      <w:r>
        <w:rPr>
          <w:rFonts w:hint="eastAsia" w:ascii="Times New Roman" w:hAnsi="Times New Roman" w:eastAsia="仿宋_GB2312" w:cs="Times New Roman"/>
          <w:b/>
          <w:bCs/>
          <w:color w:val="000000"/>
          <w:lang w:val="en-US" w:eastAsia="zh-CN"/>
        </w:rPr>
        <w:t>（四）社会保险基金预算收支安排情</w:t>
      </w:r>
      <w:r>
        <w:rPr>
          <w:rFonts w:hint="eastAsia" w:ascii="楷体_GB2312" w:hAnsi="楷体_GB2312" w:eastAsia="楷体_GB2312" w:cs="楷体_GB2312"/>
          <w:b/>
          <w:color w:val="000000"/>
        </w:rPr>
        <w:t>况</w:t>
      </w:r>
    </w:p>
    <w:p>
      <w:pPr>
        <w:adjustRightInd w:val="0"/>
        <w:snapToGrid w:val="0"/>
        <w:spacing w:line="600" w:lineRule="exact"/>
        <w:ind w:firstLine="632" w:firstLineChars="200"/>
        <w:rPr>
          <w:rFonts w:hint="default" w:ascii="仿宋_GB2312" w:hAnsi="仿宋_GB2312" w:eastAsia="仿宋_GB2312" w:cs="仿宋_GB2312"/>
          <w:b w:val="0"/>
          <w:bCs/>
          <w:color w:val="000000"/>
          <w:lang w:val="en-US" w:eastAsia="zh-CN"/>
        </w:rPr>
      </w:pPr>
      <w:r>
        <w:rPr>
          <w:rFonts w:hint="default" w:ascii="仿宋_GB2312" w:hAnsi="Times New Roman" w:eastAsia="仿宋_GB2312" w:cs="Times New Roman"/>
          <w:lang w:val="en-US" w:eastAsia="zh-CN"/>
        </w:rPr>
        <w:t>202</w:t>
      </w:r>
      <w:r>
        <w:rPr>
          <w:rFonts w:hint="eastAsia" w:ascii="仿宋_GB2312" w:hAnsi="Times New Roman" w:eastAsia="仿宋_GB2312" w:cs="Times New Roman"/>
          <w:lang w:val="en-US" w:eastAsia="zh-CN"/>
        </w:rPr>
        <w:t>2年，</w:t>
      </w:r>
      <w:r>
        <w:rPr>
          <w:rFonts w:hint="eastAsia" w:ascii="仿宋_GB2312" w:hAnsi="Times New Roman" w:eastAsia="仿宋_GB2312" w:cs="Times New Roman"/>
          <w:lang w:eastAsia="zh-CN"/>
        </w:rPr>
        <w:t>全年社会保险基金预算收入安排</w:t>
      </w:r>
      <w:r>
        <w:rPr>
          <w:rFonts w:hint="eastAsia" w:ascii="仿宋_GB2312" w:hAnsi="Times New Roman" w:eastAsia="仿宋_GB2312" w:cs="Times New Roman"/>
          <w:lang w:val="en-US" w:eastAsia="zh-CN"/>
        </w:rPr>
        <w:t>3800</w:t>
      </w:r>
      <w:r>
        <w:rPr>
          <w:rFonts w:hint="eastAsia" w:ascii="仿宋_GB2312" w:hAnsi="Times New Roman" w:eastAsia="仿宋_GB2312" w:cs="Times New Roman"/>
          <w:lang w:eastAsia="zh-CN"/>
        </w:rPr>
        <w:t>万元，各项财政补助收入</w:t>
      </w:r>
      <w:r>
        <w:rPr>
          <w:rFonts w:hint="eastAsia" w:ascii="仿宋_GB2312" w:hAnsi="Times New Roman" w:eastAsia="仿宋_GB2312" w:cs="Times New Roman"/>
          <w:lang w:val="en-US" w:eastAsia="zh-CN"/>
        </w:rPr>
        <w:t>4100万元，收入总计7900万元；</w:t>
      </w:r>
      <w:r>
        <w:rPr>
          <w:rFonts w:hint="eastAsia" w:ascii="仿宋_GB2312" w:hAnsi="Times New Roman" w:eastAsia="仿宋_GB2312" w:cs="Times New Roman"/>
          <w:lang w:eastAsia="zh-CN"/>
        </w:rPr>
        <w:t>社会保险基金预算支出安排</w:t>
      </w:r>
      <w:r>
        <w:rPr>
          <w:rFonts w:hint="eastAsia" w:ascii="仿宋_GB2312" w:hAnsi="Times New Roman" w:eastAsia="仿宋_GB2312" w:cs="Times New Roman"/>
          <w:lang w:val="en-US" w:eastAsia="zh-CN"/>
        </w:rPr>
        <w:t>7900</w:t>
      </w:r>
      <w:r>
        <w:rPr>
          <w:rFonts w:hint="eastAsia" w:ascii="仿宋_GB2312" w:hAnsi="Times New Roman" w:eastAsia="仿宋_GB2312" w:cs="Times New Roman"/>
          <w:lang w:eastAsia="zh-CN"/>
        </w:rPr>
        <w:t>万元，实现收支平衡。</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20</w:t>
      </w:r>
      <w:r>
        <w:rPr>
          <w:rFonts w:hint="eastAsia" w:ascii="Times New Roman" w:hAnsi="Times New Roman" w:eastAsia="黑体" w:cs="Times New Roman"/>
          <w:color w:val="000000"/>
          <w:sz w:val="28"/>
          <w:szCs w:val="28"/>
          <w:highlight w:val="none"/>
          <w:lang w:val="en-US" w:eastAsia="zh-CN"/>
        </w:rPr>
        <w:t>22</w:t>
      </w:r>
      <w:r>
        <w:rPr>
          <w:rFonts w:hint="default" w:ascii="Times New Roman" w:hAnsi="Times New Roman" w:eastAsia="黑体" w:cs="Times New Roman"/>
          <w:color w:val="000000"/>
          <w:sz w:val="28"/>
          <w:szCs w:val="28"/>
          <w:highlight w:val="none"/>
        </w:rPr>
        <w:t>年全</w:t>
      </w:r>
      <w:r>
        <w:rPr>
          <w:rFonts w:hint="eastAsia" w:ascii="Times New Roman" w:hAnsi="Times New Roman" w:eastAsia="黑体" w:cs="Times New Roman"/>
          <w:color w:val="000000"/>
          <w:sz w:val="28"/>
          <w:szCs w:val="28"/>
          <w:highlight w:val="none"/>
          <w:lang w:eastAsia="zh-CN"/>
        </w:rPr>
        <w:t>区社会保险</w:t>
      </w:r>
      <w:r>
        <w:rPr>
          <w:rFonts w:hint="default" w:ascii="Times New Roman" w:hAnsi="Times New Roman" w:eastAsia="黑体" w:cs="Times New Roman"/>
          <w:color w:val="000000"/>
          <w:sz w:val="28"/>
          <w:szCs w:val="28"/>
          <w:highlight w:val="none"/>
        </w:rPr>
        <w:t>基金</w:t>
      </w:r>
      <w:r>
        <w:rPr>
          <w:rFonts w:hint="eastAsia" w:ascii="Times New Roman" w:hAnsi="Times New Roman" w:eastAsia="黑体" w:cs="Times New Roman"/>
          <w:color w:val="000000"/>
          <w:sz w:val="28"/>
          <w:szCs w:val="28"/>
          <w:highlight w:val="none"/>
          <w:lang w:eastAsia="zh-CN"/>
        </w:rPr>
        <w:t>预算</w:t>
      </w:r>
      <w:r>
        <w:rPr>
          <w:rFonts w:hint="default" w:ascii="Times New Roman" w:hAnsi="Times New Roman" w:eastAsia="黑体" w:cs="Times New Roman"/>
          <w:color w:val="000000"/>
          <w:sz w:val="28"/>
          <w:szCs w:val="28"/>
          <w:highlight w:val="none"/>
        </w:rPr>
        <w:t>收支平衡情况表</w:t>
      </w:r>
    </w:p>
    <w:p>
      <w:pPr>
        <w:adjustRightInd w:val="0"/>
        <w:snapToGrid w:val="0"/>
        <w:ind w:firstLine="352" w:firstLineChars="200"/>
        <w:rPr>
          <w:rFonts w:hint="default" w:ascii="Times New Roman" w:hAnsi="Times New Roman" w:eastAsia="仿宋_GB2312" w:cs="Times New Roman"/>
          <w:color w:val="0000FF"/>
          <w:highlight w:val="none"/>
        </w:rPr>
      </w:pPr>
      <w:r>
        <w:rPr>
          <w:rFonts w:hint="default" w:ascii="Times New Roman" w:hAnsi="Times New Roman" w:eastAsia="黑体" w:cs="Times New Roman"/>
          <w:color w:val="000000"/>
          <w:sz w:val="18"/>
          <w:szCs w:val="18"/>
          <w:highlight w:val="none"/>
        </w:rPr>
        <w:t xml:space="preserve">                                                                            </w:t>
      </w:r>
      <w:r>
        <w:rPr>
          <w:rFonts w:hint="default" w:ascii="Times New Roman" w:hAnsi="Times New Roman" w:cs="Times New Roman"/>
          <w:color w:val="000000"/>
          <w:sz w:val="18"/>
          <w:szCs w:val="18"/>
          <w:highlight w:val="none"/>
        </w:rPr>
        <w:t xml:space="preserve">        单位：万元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8"/>
        <w:gridCol w:w="900"/>
        <w:gridCol w:w="3096"/>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3228" w:type="dxa"/>
            <w:noWrap w:val="0"/>
            <w:vAlign w:val="center"/>
          </w:tcPr>
          <w:p>
            <w:pPr>
              <w:adjustRightInd w:val="0"/>
              <w:snapToGrid w:val="0"/>
              <w:jc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收入</w:t>
            </w:r>
          </w:p>
        </w:tc>
        <w:tc>
          <w:tcPr>
            <w:tcW w:w="900" w:type="dxa"/>
            <w:noWrap w:val="0"/>
            <w:vAlign w:val="center"/>
          </w:tcPr>
          <w:p>
            <w:pPr>
              <w:adjustRightInd w:val="0"/>
              <w:snapToGrid w:val="0"/>
              <w:jc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数额</w:t>
            </w:r>
          </w:p>
        </w:tc>
        <w:tc>
          <w:tcPr>
            <w:tcW w:w="3096" w:type="dxa"/>
            <w:noWrap w:val="0"/>
            <w:vAlign w:val="center"/>
          </w:tcPr>
          <w:p>
            <w:pPr>
              <w:adjustRightInd w:val="0"/>
              <w:snapToGrid w:val="0"/>
              <w:jc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支出</w:t>
            </w:r>
          </w:p>
        </w:tc>
        <w:tc>
          <w:tcPr>
            <w:tcW w:w="1452" w:type="dxa"/>
            <w:noWrap w:val="0"/>
            <w:vAlign w:val="center"/>
          </w:tcPr>
          <w:p>
            <w:pPr>
              <w:adjustRightInd w:val="0"/>
              <w:snapToGrid w:val="0"/>
              <w:jc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数额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3228" w:type="dxa"/>
            <w:noWrap w:val="0"/>
            <w:vAlign w:val="center"/>
          </w:tcPr>
          <w:p>
            <w:pPr>
              <w:adjustRightInd w:val="0"/>
              <w:snapToGrid w:val="0"/>
              <w:jc w:val="left"/>
              <w:rPr>
                <w:rFonts w:hint="eastAsia" w:ascii="Times New Roman" w:hAnsi="Times New Roman" w:eastAsia="宋体" w:cs="Times New Roman"/>
                <w:color w:val="000000"/>
                <w:sz w:val="24"/>
                <w:szCs w:val="24"/>
                <w:highlight w:val="none"/>
                <w:lang w:eastAsia="zh-CN"/>
              </w:rPr>
            </w:pPr>
            <w:r>
              <w:rPr>
                <w:rFonts w:hint="eastAsia" w:ascii="Times New Roman" w:hAnsi="Times New Roman" w:cs="Times New Roman"/>
                <w:color w:val="000000"/>
                <w:sz w:val="24"/>
                <w:szCs w:val="24"/>
                <w:highlight w:val="none"/>
                <w:lang w:eastAsia="zh-CN"/>
              </w:rPr>
              <w:t>社会保险基金预算收入</w:t>
            </w:r>
          </w:p>
        </w:tc>
        <w:tc>
          <w:tcPr>
            <w:tcW w:w="900" w:type="dxa"/>
            <w:noWrap w:val="0"/>
            <w:vAlign w:val="center"/>
          </w:tcPr>
          <w:p>
            <w:pPr>
              <w:adjustRightInd w:val="0"/>
              <w:snapToGrid w:val="0"/>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3800</w:t>
            </w:r>
          </w:p>
        </w:tc>
        <w:tc>
          <w:tcPr>
            <w:tcW w:w="3096" w:type="dxa"/>
            <w:noWrap w:val="0"/>
            <w:vAlign w:val="center"/>
          </w:tcPr>
          <w:p>
            <w:pPr>
              <w:adjustRightInd w:val="0"/>
              <w:snapToGrid w:val="0"/>
              <w:jc w:val="left"/>
              <w:rPr>
                <w:rFonts w:hint="eastAsia" w:ascii="Times New Roman" w:hAnsi="Times New Roman" w:eastAsia="宋体" w:cs="Times New Roman"/>
                <w:color w:val="000000"/>
                <w:sz w:val="24"/>
                <w:szCs w:val="24"/>
                <w:highlight w:val="none"/>
                <w:lang w:eastAsia="zh-CN"/>
              </w:rPr>
            </w:pPr>
            <w:r>
              <w:rPr>
                <w:rFonts w:hint="eastAsia" w:ascii="Times New Roman" w:hAnsi="Times New Roman" w:cs="Times New Roman"/>
                <w:color w:val="000000"/>
                <w:sz w:val="24"/>
                <w:szCs w:val="24"/>
                <w:highlight w:val="none"/>
                <w:lang w:eastAsia="zh-CN"/>
              </w:rPr>
              <w:t>社会保险基金预算支出</w:t>
            </w:r>
          </w:p>
        </w:tc>
        <w:tc>
          <w:tcPr>
            <w:tcW w:w="1452" w:type="dxa"/>
            <w:noWrap w:val="0"/>
            <w:vAlign w:val="center"/>
          </w:tcPr>
          <w:p>
            <w:pPr>
              <w:adjustRightInd w:val="0"/>
              <w:snapToGrid w:val="0"/>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3228" w:type="dxa"/>
            <w:noWrap w:val="0"/>
            <w:vAlign w:val="center"/>
          </w:tcPr>
          <w:p>
            <w:pPr>
              <w:adjustRightInd w:val="0"/>
              <w:snapToGrid w:val="0"/>
              <w:jc w:val="left"/>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财政补贴收入</w:t>
            </w:r>
          </w:p>
        </w:tc>
        <w:tc>
          <w:tcPr>
            <w:tcW w:w="900" w:type="dxa"/>
            <w:noWrap w:val="0"/>
            <w:vAlign w:val="center"/>
          </w:tcPr>
          <w:p>
            <w:pPr>
              <w:adjustRightInd w:val="0"/>
              <w:snapToGrid w:val="0"/>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4100</w:t>
            </w:r>
          </w:p>
        </w:tc>
        <w:tc>
          <w:tcPr>
            <w:tcW w:w="3096" w:type="dxa"/>
            <w:noWrap w:val="0"/>
            <w:vAlign w:val="center"/>
          </w:tcPr>
          <w:p>
            <w:pPr>
              <w:adjustRightInd w:val="0"/>
              <w:snapToGrid w:val="0"/>
              <w:jc w:val="center"/>
              <w:rPr>
                <w:rFonts w:hint="default" w:ascii="Times New Roman" w:hAnsi="Times New Roman" w:cs="Times New Roman"/>
                <w:color w:val="000000"/>
                <w:sz w:val="24"/>
                <w:szCs w:val="24"/>
                <w:highlight w:val="none"/>
              </w:rPr>
            </w:pPr>
          </w:p>
        </w:tc>
        <w:tc>
          <w:tcPr>
            <w:tcW w:w="1452" w:type="dxa"/>
            <w:noWrap w:val="0"/>
            <w:vAlign w:val="center"/>
          </w:tcPr>
          <w:p>
            <w:pPr>
              <w:adjustRightInd w:val="0"/>
              <w:snapToGrid w:val="0"/>
              <w:jc w:val="center"/>
              <w:rPr>
                <w:rFonts w:hint="default" w:ascii="Times New Roman" w:hAnsi="Times New Roman"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228" w:type="dxa"/>
            <w:noWrap w:val="0"/>
            <w:vAlign w:val="center"/>
          </w:tcPr>
          <w:p>
            <w:pPr>
              <w:adjustRightInd w:val="0"/>
              <w:snapToGrid w:val="0"/>
              <w:jc w:val="center"/>
              <w:rPr>
                <w:rFonts w:hint="default" w:ascii="Times New Roman" w:hAnsi="Times New Roman" w:cs="Times New Roman"/>
                <w:b/>
                <w:bCs/>
                <w:color w:val="000000"/>
                <w:sz w:val="24"/>
                <w:szCs w:val="24"/>
                <w:highlight w:val="none"/>
              </w:rPr>
            </w:pPr>
            <w:r>
              <w:rPr>
                <w:rFonts w:hint="default" w:ascii="Times New Roman" w:hAnsi="Times New Roman" w:cs="Times New Roman"/>
                <w:b/>
                <w:bCs/>
                <w:color w:val="000000"/>
                <w:sz w:val="24"/>
                <w:szCs w:val="24"/>
                <w:highlight w:val="none"/>
              </w:rPr>
              <w:t>收入总计</w:t>
            </w:r>
          </w:p>
        </w:tc>
        <w:tc>
          <w:tcPr>
            <w:tcW w:w="900" w:type="dxa"/>
            <w:noWrap w:val="0"/>
            <w:vAlign w:val="center"/>
          </w:tcPr>
          <w:p>
            <w:pPr>
              <w:adjustRightInd w:val="0"/>
              <w:snapToGrid w:val="0"/>
              <w:jc w:val="center"/>
              <w:rPr>
                <w:rFonts w:hint="default" w:ascii="Times New Roman" w:hAnsi="Times New Roman" w:eastAsia="宋体" w:cs="Times New Roman"/>
                <w:b/>
                <w:bCs/>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rPr>
              <w:t>7900</w:t>
            </w:r>
          </w:p>
        </w:tc>
        <w:tc>
          <w:tcPr>
            <w:tcW w:w="3096" w:type="dxa"/>
            <w:noWrap w:val="0"/>
            <w:vAlign w:val="center"/>
          </w:tcPr>
          <w:p>
            <w:pPr>
              <w:adjustRightInd w:val="0"/>
              <w:snapToGrid w:val="0"/>
              <w:jc w:val="center"/>
              <w:rPr>
                <w:rFonts w:hint="default" w:ascii="Times New Roman" w:hAnsi="Times New Roman" w:cs="Times New Roman"/>
                <w:b/>
                <w:bCs/>
                <w:color w:val="000000"/>
                <w:sz w:val="24"/>
                <w:szCs w:val="24"/>
                <w:highlight w:val="none"/>
              </w:rPr>
            </w:pPr>
            <w:r>
              <w:rPr>
                <w:rFonts w:hint="default" w:ascii="Times New Roman" w:hAnsi="Times New Roman" w:cs="Times New Roman"/>
                <w:b/>
                <w:bCs/>
                <w:color w:val="000000"/>
                <w:sz w:val="24"/>
                <w:szCs w:val="24"/>
                <w:highlight w:val="none"/>
              </w:rPr>
              <w:t>支出总计</w:t>
            </w:r>
          </w:p>
        </w:tc>
        <w:tc>
          <w:tcPr>
            <w:tcW w:w="1452" w:type="dxa"/>
            <w:noWrap w:val="0"/>
            <w:vAlign w:val="center"/>
          </w:tcPr>
          <w:p>
            <w:pPr>
              <w:adjustRightInd w:val="0"/>
              <w:snapToGrid w:val="0"/>
              <w:jc w:val="center"/>
              <w:rPr>
                <w:rFonts w:hint="default" w:ascii="Times New Roman" w:hAnsi="Times New Roman" w:eastAsia="宋体" w:cs="Times New Roman"/>
                <w:b/>
                <w:bCs/>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rPr>
              <w:t>7900</w:t>
            </w:r>
          </w:p>
        </w:tc>
      </w:tr>
    </w:tbl>
    <w:p>
      <w:pPr>
        <w:pStyle w:val="8"/>
        <w:adjustRightInd w:val="0"/>
        <w:snapToGrid w:val="0"/>
        <w:spacing w:before="0" w:beforeAutospacing="0" w:after="0" w:afterAutospacing="0" w:line="600" w:lineRule="exact"/>
        <w:ind w:right="30"/>
        <w:jc w:val="both"/>
        <w:rPr>
          <w:rFonts w:ascii="Times New Roman" w:hAnsi="Times New Roman" w:eastAsia="黑体" w:cs="Times New Roman"/>
          <w:bCs/>
          <w:color w:val="000000"/>
          <w:sz w:val="32"/>
          <w:szCs w:val="32"/>
        </w:rPr>
      </w:pPr>
      <w:r>
        <w:rPr>
          <w:rFonts w:hint="eastAsia" w:ascii="Times New Roman" w:hAnsi="Times New Roman" w:eastAsia="黑体" w:cs="Times New Roman"/>
          <w:bCs/>
          <w:color w:val="000000"/>
          <w:sz w:val="32"/>
          <w:szCs w:val="32"/>
          <w:lang w:val="en-US" w:eastAsia="zh-CN"/>
        </w:rPr>
        <w:t xml:space="preserve">    </w:t>
      </w:r>
      <w:r>
        <w:rPr>
          <w:rFonts w:ascii="Times New Roman" w:hAnsi="Times New Roman" w:eastAsia="黑体" w:cs="Times New Roman"/>
          <w:bCs/>
          <w:color w:val="000000"/>
          <w:sz w:val="32"/>
          <w:szCs w:val="32"/>
        </w:rPr>
        <w:t>四、确保完成</w:t>
      </w:r>
      <w:r>
        <w:rPr>
          <w:rFonts w:hint="eastAsia" w:ascii="Times New Roman" w:hAnsi="Times New Roman" w:eastAsia="黑体" w:cs="Times New Roman"/>
          <w:bCs/>
          <w:color w:val="000000"/>
          <w:sz w:val="32"/>
          <w:szCs w:val="32"/>
          <w:lang w:val="en-US" w:eastAsia="zh-CN"/>
        </w:rPr>
        <w:t>2</w:t>
      </w:r>
      <w:r>
        <w:rPr>
          <w:rFonts w:hint="eastAsia" w:ascii="Times New Roman" w:hAnsi="Times New Roman" w:eastAsia="黑体" w:cs="Times New Roman"/>
          <w:bCs/>
          <w:color w:val="000000"/>
          <w:sz w:val="32"/>
          <w:szCs w:val="32"/>
          <w:lang w:val="en-US" w:eastAsia="zh-CN"/>
        </w:rPr>
        <w:t>022</w:t>
      </w:r>
      <w:r>
        <w:rPr>
          <w:rFonts w:ascii="Times New Roman" w:hAnsi="Times New Roman" w:eastAsia="黑体" w:cs="Times New Roman"/>
          <w:bCs/>
          <w:color w:val="000000"/>
          <w:sz w:val="32"/>
          <w:szCs w:val="32"/>
        </w:rPr>
        <w:t>年预算任务的主要措施</w:t>
      </w:r>
    </w:p>
    <w:p>
      <w:pPr>
        <w:pStyle w:val="8"/>
        <w:adjustRightInd w:val="0"/>
        <w:snapToGrid w:val="0"/>
        <w:spacing w:before="0" w:beforeAutospacing="0" w:after="0" w:afterAutospacing="0" w:line="600" w:lineRule="exact"/>
        <w:ind w:left="30" w:right="30" w:firstLine="602"/>
        <w:jc w:val="both"/>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2022年，财政部门将按照《预算法》的规定，全面落实高质量发展要求，进一步解放思想，依法科学理财，加快建立现代财政制度。</w:t>
      </w:r>
    </w:p>
    <w:p>
      <w:pPr>
        <w:pStyle w:val="8"/>
        <w:numPr>
          <w:ilvl w:val="0"/>
          <w:numId w:val="2"/>
        </w:numPr>
        <w:adjustRightInd w:val="0"/>
        <w:snapToGrid w:val="0"/>
        <w:spacing w:before="0" w:beforeAutospacing="0" w:after="0" w:afterAutospacing="0" w:line="600" w:lineRule="exact"/>
        <w:ind w:left="28" w:leftChars="0" w:right="30" w:firstLine="602" w:firstLineChars="0"/>
        <w:jc w:val="both"/>
        <w:rPr>
          <w:rFonts w:hint="eastAsia" w:ascii="仿宋_GB2312" w:hAnsi="仿宋_GB2312" w:eastAsia="仿宋_GB2312" w:cs="仿宋_GB2312"/>
          <w:b/>
          <w:bCs w:val="0"/>
          <w:color w:val="000000"/>
          <w:kern w:val="2"/>
          <w:sz w:val="32"/>
          <w:szCs w:val="32"/>
          <w:lang w:val="en-US" w:eastAsia="zh-CN" w:bidi="ar-SA"/>
        </w:rPr>
      </w:pPr>
      <w:r>
        <w:rPr>
          <w:rFonts w:hint="eastAsia" w:ascii="仿宋_GB2312" w:hAnsi="仿宋_GB2312" w:eastAsia="仿宋_GB2312" w:cs="仿宋_GB2312"/>
          <w:b/>
          <w:bCs w:val="0"/>
          <w:color w:val="000000"/>
          <w:kern w:val="2"/>
          <w:sz w:val="32"/>
          <w:szCs w:val="32"/>
          <w:lang w:val="en-US" w:eastAsia="zh-CN" w:bidi="ar-SA"/>
        </w:rPr>
        <w:t>抓好收入征管，确保应收尽收</w:t>
      </w:r>
    </w:p>
    <w:p>
      <w:pPr>
        <w:pStyle w:val="8"/>
        <w:numPr>
          <w:ilvl w:val="0"/>
          <w:numId w:val="0"/>
        </w:numPr>
        <w:adjustRightInd w:val="0"/>
        <w:snapToGrid w:val="0"/>
        <w:spacing w:before="0" w:beforeAutospacing="0" w:after="0" w:afterAutospacing="0" w:line="600" w:lineRule="exact"/>
        <w:ind w:right="30" w:rightChars="0" w:firstLine="632" w:firstLineChars="200"/>
        <w:jc w:val="both"/>
        <w:rPr>
          <w:rFonts w:hint="default"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bCs w:val="0"/>
          <w:color w:val="000000"/>
          <w:kern w:val="2"/>
          <w:sz w:val="32"/>
          <w:szCs w:val="32"/>
          <w:lang w:val="en-US" w:eastAsia="zh-CN" w:bidi="ar-SA"/>
        </w:rPr>
        <w:t>一是强化协作聚合力。</w:t>
      </w:r>
      <w:r>
        <w:rPr>
          <w:rFonts w:hint="eastAsia" w:ascii="仿宋_GB2312" w:hAnsi="仿宋_GB2312" w:eastAsia="仿宋_GB2312" w:cs="仿宋_GB2312"/>
          <w:b w:val="0"/>
          <w:bCs/>
          <w:color w:val="000000"/>
          <w:kern w:val="2"/>
          <w:sz w:val="32"/>
          <w:szCs w:val="32"/>
          <w:lang w:val="en-US" w:eastAsia="zh-CN" w:bidi="ar-SA"/>
        </w:rPr>
        <w:t>切实履行财政工作职能，进一步加强与税务等部门协作配合，做到信息互通，资源共享，及时解决工作中遇到的难点问题。</w:t>
      </w:r>
      <w:r>
        <w:rPr>
          <w:rFonts w:hint="eastAsia" w:ascii="仿宋_GB2312" w:hAnsi="仿宋_GB2312" w:eastAsia="仿宋_GB2312" w:cs="仿宋_GB2312"/>
          <w:b/>
          <w:bCs w:val="0"/>
          <w:color w:val="000000"/>
          <w:kern w:val="2"/>
          <w:sz w:val="32"/>
          <w:szCs w:val="32"/>
          <w:lang w:val="en-US" w:eastAsia="zh-CN" w:bidi="ar-SA"/>
        </w:rPr>
        <w:t>二是加强监控挖潜力。</w:t>
      </w:r>
      <w:r>
        <w:rPr>
          <w:rFonts w:hint="eastAsia" w:ascii="仿宋_GB2312" w:hAnsi="仿宋_GB2312" w:eastAsia="仿宋_GB2312" w:cs="仿宋_GB2312"/>
          <w:b w:val="0"/>
          <w:bCs/>
          <w:color w:val="000000"/>
          <w:kern w:val="2"/>
          <w:sz w:val="32"/>
          <w:szCs w:val="32"/>
          <w:lang w:val="en-US" w:eastAsia="zh-CN" w:bidi="ar-SA"/>
        </w:rPr>
        <w:t>加强对重点行业、重点税种和重点税源的跟踪监控，密切关注重点工程及重点项目进展，扎实开展房地产、建筑业、金融业等重点行业领域税收专项治理，深入挖掘潜力，确保应收尽收。</w:t>
      </w:r>
      <w:r>
        <w:rPr>
          <w:rFonts w:hint="eastAsia" w:ascii="仿宋_GB2312" w:hAnsi="仿宋_GB2312" w:eastAsia="仿宋_GB2312" w:cs="仿宋_GB2312"/>
          <w:b/>
          <w:bCs w:val="0"/>
          <w:color w:val="000000"/>
          <w:kern w:val="2"/>
          <w:sz w:val="32"/>
          <w:szCs w:val="32"/>
          <w:lang w:val="en-US" w:eastAsia="zh-CN" w:bidi="ar-SA"/>
        </w:rPr>
        <w:t>三是规范管理提效率。</w:t>
      </w:r>
      <w:r>
        <w:rPr>
          <w:rFonts w:hint="eastAsia" w:ascii="仿宋_GB2312" w:hAnsi="仿宋_GB2312" w:eastAsia="仿宋_GB2312" w:cs="仿宋_GB2312"/>
          <w:b w:val="0"/>
          <w:bCs/>
          <w:color w:val="000000"/>
          <w:kern w:val="2"/>
          <w:sz w:val="32"/>
          <w:szCs w:val="32"/>
          <w:lang w:val="en-US" w:eastAsia="zh-CN" w:bidi="ar-SA"/>
        </w:rPr>
        <w:t>规范财政票据的日常管理，加强对重点收入单位和项目进行调研，丰富拓展我区政府非税收入缴费渠道。</w:t>
      </w:r>
    </w:p>
    <w:p>
      <w:pPr>
        <w:pStyle w:val="8"/>
        <w:numPr>
          <w:ilvl w:val="0"/>
          <w:numId w:val="2"/>
        </w:numPr>
        <w:adjustRightInd w:val="0"/>
        <w:snapToGrid w:val="0"/>
        <w:spacing w:before="0" w:beforeAutospacing="0" w:after="0" w:afterAutospacing="0" w:line="600" w:lineRule="exact"/>
        <w:ind w:left="28" w:leftChars="0" w:right="30" w:firstLine="602" w:firstLineChars="0"/>
        <w:jc w:val="both"/>
        <w:rPr>
          <w:rFonts w:hint="default" w:ascii="仿宋_GB2312" w:hAnsi="仿宋_GB2312" w:eastAsia="仿宋_GB2312" w:cs="仿宋_GB2312"/>
          <w:b/>
          <w:bCs w:val="0"/>
          <w:color w:val="000000"/>
          <w:kern w:val="2"/>
          <w:sz w:val="32"/>
          <w:szCs w:val="32"/>
          <w:lang w:val="en-US" w:eastAsia="zh-CN" w:bidi="ar-SA"/>
        </w:rPr>
      </w:pPr>
      <w:r>
        <w:rPr>
          <w:rFonts w:hint="eastAsia" w:ascii="仿宋_GB2312" w:hAnsi="仿宋_GB2312" w:eastAsia="仿宋_GB2312" w:cs="仿宋_GB2312"/>
          <w:b/>
          <w:bCs w:val="0"/>
          <w:color w:val="000000"/>
          <w:kern w:val="2"/>
          <w:sz w:val="32"/>
          <w:szCs w:val="32"/>
          <w:lang w:val="en-US" w:eastAsia="zh-CN" w:bidi="ar-SA"/>
        </w:rPr>
        <w:t>落实财政政策，促进经济发展</w:t>
      </w:r>
    </w:p>
    <w:p>
      <w:pPr>
        <w:pStyle w:val="8"/>
        <w:adjustRightInd w:val="0"/>
        <w:snapToGrid w:val="0"/>
        <w:spacing w:before="0" w:beforeAutospacing="0" w:after="0" w:afterAutospacing="0" w:line="600" w:lineRule="exact"/>
        <w:ind w:right="30" w:firstLine="632" w:firstLineChars="200"/>
        <w:jc w:val="both"/>
        <w:rPr>
          <w:rFonts w:hint="default" w:ascii="仿宋_GB2312" w:hAnsi="仿宋_GB2312" w:eastAsia="仿宋_GB2312" w:cs="仿宋_GB2312"/>
          <w:b/>
          <w:bCs w:val="0"/>
          <w:color w:val="000000"/>
          <w:kern w:val="2"/>
          <w:sz w:val="32"/>
          <w:szCs w:val="32"/>
          <w:lang w:val="en-US" w:eastAsia="zh-CN" w:bidi="ar-SA"/>
        </w:rPr>
      </w:pPr>
      <w:r>
        <w:rPr>
          <w:rFonts w:hint="eastAsia" w:ascii="仿宋_GB2312" w:hAnsi="仿宋_GB2312" w:eastAsia="仿宋_GB2312" w:cs="仿宋_GB2312"/>
          <w:b/>
          <w:bCs w:val="0"/>
          <w:color w:val="000000"/>
          <w:kern w:val="2"/>
          <w:sz w:val="32"/>
          <w:szCs w:val="32"/>
          <w:lang w:val="en-US" w:eastAsia="zh-CN" w:bidi="ar-SA"/>
        </w:rPr>
        <w:t>一是大力发展主导产业。</w:t>
      </w:r>
      <w:r>
        <w:rPr>
          <w:rFonts w:hint="eastAsia" w:ascii="仿宋_GB2312" w:hAnsi="仿宋_GB2312" w:eastAsia="仿宋_GB2312" w:cs="仿宋_GB2312"/>
          <w:b w:val="0"/>
          <w:bCs/>
          <w:color w:val="000000"/>
          <w:kern w:val="2"/>
          <w:sz w:val="32"/>
          <w:szCs w:val="32"/>
          <w:lang w:val="en-US" w:eastAsia="zh-CN" w:bidi="ar-SA"/>
        </w:rPr>
        <w:t>着力发展可持续财源，大力发展实体经济，加大对龙山泉啤酒、</w:t>
      </w:r>
      <w:r>
        <w:rPr>
          <w:rFonts w:hint="eastAsia" w:ascii="仿宋_GB2312" w:hAnsi="宋体" w:eastAsia="仿宋_GB2312"/>
          <w:sz w:val="32"/>
          <w:szCs w:val="32"/>
          <w:highlight w:val="none"/>
          <w:lang w:val="en-US" w:eastAsia="zh-CN"/>
        </w:rPr>
        <w:t>东方三家子矿业等</w:t>
      </w:r>
      <w:r>
        <w:rPr>
          <w:rFonts w:hint="eastAsia" w:ascii="仿宋_GB2312" w:eastAsia="仿宋_GB2312"/>
          <w:sz w:val="32"/>
          <w:szCs w:val="32"/>
          <w:highlight w:val="none"/>
          <w:lang w:val="en-US" w:eastAsia="zh-CN"/>
        </w:rPr>
        <w:t>企业的扶持力度，打造我区财源的源头活水，促进我区财源建设的可持续发展。</w:t>
      </w:r>
      <w:r>
        <w:rPr>
          <w:rFonts w:hint="eastAsia" w:ascii="仿宋_GB2312" w:eastAsia="仿宋_GB2312"/>
          <w:b/>
          <w:bCs/>
          <w:sz w:val="32"/>
          <w:szCs w:val="32"/>
          <w:highlight w:val="none"/>
          <w:lang w:val="en-US" w:eastAsia="zh-CN"/>
        </w:rPr>
        <w:t>二是加快传统产业转型升级。</w:t>
      </w:r>
      <w:r>
        <w:rPr>
          <w:rFonts w:hint="eastAsia" w:ascii="仿宋_GB2312" w:eastAsia="仿宋_GB2312"/>
          <w:b w:val="0"/>
          <w:bCs w:val="0"/>
          <w:sz w:val="32"/>
          <w:szCs w:val="32"/>
          <w:highlight w:val="none"/>
          <w:lang w:val="en-US" w:eastAsia="zh-CN"/>
        </w:rPr>
        <w:t>全面落实国家减税降费政策，聚力发展传统产业，发挥财政资金的杠杆作用。支持实施产业项目建设，着力发挥产业的辐射带动作用，加快经济发展，着力打造特色鲜明、活力充沛的产业集群。</w:t>
      </w:r>
      <w:r>
        <w:rPr>
          <w:rFonts w:hint="eastAsia" w:ascii="仿宋_GB2312" w:eastAsia="仿宋_GB2312"/>
          <w:b/>
          <w:bCs/>
          <w:sz w:val="32"/>
          <w:szCs w:val="32"/>
          <w:highlight w:val="none"/>
          <w:lang w:val="en-US" w:eastAsia="zh-CN"/>
        </w:rPr>
        <w:t>三是优化营商环境强化服务意识。</w:t>
      </w:r>
      <w:r>
        <w:rPr>
          <w:rFonts w:hint="eastAsia" w:ascii="仿宋_GB2312" w:eastAsia="仿宋_GB2312"/>
          <w:b w:val="0"/>
          <w:bCs w:val="0"/>
          <w:sz w:val="32"/>
          <w:szCs w:val="32"/>
          <w:highlight w:val="none"/>
          <w:lang w:val="en-US" w:eastAsia="zh-CN"/>
        </w:rPr>
        <w:t>深刻认识优化营山环境的重要性和紧迫性，把优化营商环境工作作为工作的重点，积极学习先进地区的经验，做到为我所用、立足实际，全心全意的当好企业的“大管家”，帮助企业解决亟需解决的问题，满足市场经济主体发展需要。</w:t>
      </w:r>
    </w:p>
    <w:p>
      <w:pPr>
        <w:pStyle w:val="8"/>
        <w:numPr>
          <w:ilvl w:val="0"/>
          <w:numId w:val="2"/>
        </w:numPr>
        <w:adjustRightInd w:val="0"/>
        <w:snapToGrid w:val="0"/>
        <w:spacing w:before="0" w:beforeAutospacing="0" w:after="0" w:afterAutospacing="0" w:line="600" w:lineRule="exact"/>
        <w:ind w:left="28" w:leftChars="0" w:right="30" w:firstLine="602" w:firstLineChars="0"/>
        <w:jc w:val="both"/>
        <w:rPr>
          <w:rFonts w:hint="default" w:ascii="仿宋_GB2312" w:hAnsi="仿宋_GB2312" w:eastAsia="仿宋_GB2312" w:cs="仿宋_GB2312"/>
          <w:b/>
          <w:bCs w:val="0"/>
          <w:color w:val="000000"/>
          <w:kern w:val="2"/>
          <w:sz w:val="32"/>
          <w:szCs w:val="32"/>
          <w:lang w:val="en-US" w:eastAsia="zh-CN" w:bidi="ar-SA"/>
        </w:rPr>
      </w:pPr>
      <w:r>
        <w:rPr>
          <w:rFonts w:hint="eastAsia" w:ascii="仿宋_GB2312" w:hAnsi="仿宋_GB2312" w:eastAsia="仿宋_GB2312" w:cs="仿宋_GB2312"/>
          <w:b/>
          <w:bCs w:val="0"/>
          <w:color w:val="000000"/>
          <w:kern w:val="2"/>
          <w:sz w:val="32"/>
          <w:szCs w:val="32"/>
          <w:lang w:val="en-US" w:eastAsia="zh-CN" w:bidi="ar-SA"/>
        </w:rPr>
        <w:t>强化支出管理，坚持量入为出</w:t>
      </w:r>
    </w:p>
    <w:p>
      <w:pPr>
        <w:pStyle w:val="8"/>
        <w:numPr>
          <w:ilvl w:val="0"/>
          <w:numId w:val="0"/>
        </w:numPr>
        <w:adjustRightInd w:val="0"/>
        <w:snapToGrid w:val="0"/>
        <w:spacing w:before="0" w:beforeAutospacing="0" w:after="0" w:afterAutospacing="0" w:line="600" w:lineRule="exact"/>
        <w:ind w:right="30" w:rightChars="0" w:firstLine="632" w:firstLineChars="200"/>
        <w:jc w:val="both"/>
        <w:rPr>
          <w:rFonts w:hint="default"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bCs w:val="0"/>
          <w:color w:val="000000"/>
          <w:kern w:val="2"/>
          <w:sz w:val="32"/>
          <w:szCs w:val="32"/>
          <w:lang w:val="en-US" w:eastAsia="zh-CN" w:bidi="ar-SA"/>
        </w:rPr>
        <w:t>一是严格执行国库集中支付制度。</w:t>
      </w:r>
      <w:r>
        <w:rPr>
          <w:rFonts w:hint="eastAsia" w:ascii="仿宋_GB2312" w:hAnsi="仿宋_GB2312" w:eastAsia="仿宋_GB2312" w:cs="仿宋_GB2312"/>
          <w:b w:val="0"/>
          <w:bCs/>
          <w:color w:val="000000"/>
          <w:kern w:val="2"/>
          <w:sz w:val="32"/>
          <w:szCs w:val="32"/>
          <w:lang w:val="en-US" w:eastAsia="zh-CN" w:bidi="ar-SA"/>
        </w:rPr>
        <w:t>强化预算单位主体责任，加强国库集中支付管理。履行财政资金支付审核的职责，明确审核依据、细化审核标准、规范审核程序、强化审核责任，严把财政资金支付关。</w:t>
      </w:r>
      <w:r>
        <w:rPr>
          <w:rFonts w:hint="eastAsia" w:ascii="仿宋_GB2312" w:hAnsi="仿宋_GB2312" w:eastAsia="仿宋_GB2312" w:cs="仿宋_GB2312"/>
          <w:b/>
          <w:bCs w:val="0"/>
          <w:color w:val="000000"/>
          <w:kern w:val="2"/>
          <w:sz w:val="32"/>
          <w:szCs w:val="32"/>
          <w:lang w:val="en-US" w:eastAsia="zh-CN" w:bidi="ar-SA"/>
        </w:rPr>
        <w:t>二是积极开展预算管理一体化业务工作。</w:t>
      </w:r>
      <w:r>
        <w:rPr>
          <w:rFonts w:hint="eastAsia" w:ascii="仿宋_GB2312" w:hAnsi="仿宋_GB2312" w:eastAsia="仿宋_GB2312" w:cs="仿宋_GB2312"/>
          <w:b w:val="0"/>
          <w:bCs/>
          <w:color w:val="000000"/>
          <w:kern w:val="2"/>
          <w:sz w:val="32"/>
          <w:szCs w:val="32"/>
          <w:lang w:val="en-US" w:eastAsia="zh-CN" w:bidi="ar-SA"/>
        </w:rPr>
        <w:t>注重信息收集，完善系统建设。高度重视各预算单位使用情况，积极衔接系统实施方，解决各预算单位在系统操作过程中遇到的实际问题。同时，严格要求各业务股室对预算单位的录入数据认真审核把关，确保基础信息、项目库和预算编制信息准确、有效。</w:t>
      </w:r>
      <w:r>
        <w:rPr>
          <w:rFonts w:hint="eastAsia" w:ascii="仿宋_GB2312" w:hAnsi="仿宋_GB2312" w:eastAsia="仿宋_GB2312" w:cs="仿宋_GB2312"/>
          <w:b/>
          <w:bCs w:val="0"/>
          <w:color w:val="000000"/>
          <w:kern w:val="2"/>
          <w:sz w:val="32"/>
          <w:szCs w:val="32"/>
          <w:lang w:val="en-US" w:eastAsia="zh-CN" w:bidi="ar-SA"/>
        </w:rPr>
        <w:t>三是加强存量资金盘活力度。</w:t>
      </w:r>
      <w:r>
        <w:rPr>
          <w:rFonts w:hint="eastAsia" w:ascii="仿宋_GB2312" w:hAnsi="仿宋_GB2312" w:eastAsia="仿宋_GB2312" w:cs="仿宋_GB2312"/>
          <w:b w:val="0"/>
          <w:bCs/>
          <w:color w:val="000000"/>
          <w:kern w:val="2"/>
          <w:sz w:val="32"/>
          <w:szCs w:val="32"/>
          <w:lang w:val="en-US" w:eastAsia="zh-CN" w:bidi="ar-SA"/>
        </w:rPr>
        <w:t>盘活存量资金全覆盖，统筹盘活存量资金的范围覆盖财政预算结转结余、部门单位预算结转结余、财政专户结转结余和部门单位实有资金账户结转结余，大力清理财政往来款项，实现对盘活存量资金的全面监控和覆盖。</w:t>
      </w:r>
    </w:p>
    <w:p>
      <w:pPr>
        <w:pStyle w:val="8"/>
        <w:numPr>
          <w:ilvl w:val="0"/>
          <w:numId w:val="2"/>
        </w:numPr>
        <w:adjustRightInd w:val="0"/>
        <w:snapToGrid w:val="0"/>
        <w:spacing w:before="0" w:beforeAutospacing="0" w:after="0" w:afterAutospacing="0" w:line="600" w:lineRule="exact"/>
        <w:ind w:left="28" w:leftChars="0" w:right="30" w:firstLine="602" w:firstLineChars="0"/>
        <w:jc w:val="both"/>
        <w:rPr>
          <w:rFonts w:hint="default" w:ascii="仿宋_GB2312" w:hAnsi="仿宋_GB2312" w:eastAsia="仿宋_GB2312" w:cs="仿宋_GB2312"/>
          <w:b/>
          <w:bCs w:val="0"/>
          <w:color w:val="000000"/>
          <w:kern w:val="2"/>
          <w:sz w:val="32"/>
          <w:szCs w:val="32"/>
          <w:lang w:val="en-US" w:eastAsia="zh-CN" w:bidi="ar-SA"/>
        </w:rPr>
      </w:pPr>
      <w:r>
        <w:rPr>
          <w:rFonts w:hint="eastAsia" w:ascii="仿宋_GB2312" w:hAnsi="仿宋_GB2312" w:eastAsia="仿宋_GB2312" w:cs="仿宋_GB2312"/>
          <w:b/>
          <w:bCs w:val="0"/>
          <w:color w:val="000000"/>
          <w:kern w:val="2"/>
          <w:sz w:val="32"/>
          <w:szCs w:val="32"/>
          <w:lang w:val="en-US" w:eastAsia="zh-CN" w:bidi="ar-SA"/>
        </w:rPr>
        <w:t>化解债务风险，提高防范意识</w:t>
      </w:r>
    </w:p>
    <w:p>
      <w:pPr>
        <w:pStyle w:val="8"/>
        <w:numPr>
          <w:ilvl w:val="0"/>
          <w:numId w:val="0"/>
        </w:numPr>
        <w:adjustRightInd w:val="0"/>
        <w:snapToGrid w:val="0"/>
        <w:spacing w:before="0" w:beforeAutospacing="0" w:after="0" w:afterAutospacing="0" w:line="600" w:lineRule="exact"/>
        <w:ind w:right="30" w:rightChars="0" w:firstLine="632" w:firstLineChars="200"/>
        <w:jc w:val="both"/>
        <w:rPr>
          <w:rFonts w:hint="default"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bCs w:val="0"/>
          <w:color w:val="000000"/>
          <w:kern w:val="2"/>
          <w:sz w:val="32"/>
          <w:szCs w:val="32"/>
          <w:lang w:val="en-US" w:eastAsia="zh-CN" w:bidi="ar-SA"/>
        </w:rPr>
        <w:t>一是严格控制债务限额。</w:t>
      </w:r>
      <w:r>
        <w:rPr>
          <w:rFonts w:hint="eastAsia" w:ascii="仿宋_GB2312" w:hAnsi="仿宋_GB2312" w:eastAsia="仿宋_GB2312" w:cs="仿宋_GB2312"/>
          <w:b w:val="0"/>
          <w:bCs/>
          <w:color w:val="000000"/>
          <w:kern w:val="2"/>
          <w:sz w:val="32"/>
          <w:szCs w:val="32"/>
          <w:lang w:val="en-US" w:eastAsia="zh-CN" w:bidi="ar-SA"/>
        </w:rPr>
        <w:t>通过对我区政府债务进行风险评估和预警，测算债务率、新增债务率、偿债率、逾期债务率、综合服务率等指标来反映当前我区债务风险情况，监控债务规模和风险。</w:t>
      </w:r>
      <w:r>
        <w:rPr>
          <w:rFonts w:hint="eastAsia" w:ascii="仿宋_GB2312" w:hAnsi="仿宋_GB2312" w:eastAsia="仿宋_GB2312" w:cs="仿宋_GB2312"/>
          <w:b/>
          <w:bCs w:val="0"/>
          <w:color w:val="000000"/>
          <w:kern w:val="2"/>
          <w:sz w:val="32"/>
          <w:szCs w:val="32"/>
          <w:lang w:val="en-US" w:eastAsia="zh-CN" w:bidi="ar-SA"/>
        </w:rPr>
        <w:t>二是积极向上级部门申请资金支持。</w:t>
      </w:r>
      <w:r>
        <w:rPr>
          <w:rFonts w:hint="eastAsia" w:ascii="仿宋_GB2312" w:hAnsi="仿宋_GB2312" w:eastAsia="仿宋_GB2312" w:cs="仿宋_GB2312"/>
          <w:b w:val="0"/>
          <w:bCs/>
          <w:color w:val="000000"/>
          <w:kern w:val="2"/>
          <w:sz w:val="32"/>
          <w:szCs w:val="32"/>
          <w:lang w:val="en-US" w:eastAsia="zh-CN" w:bidi="ar-SA"/>
        </w:rPr>
        <w:t>积极主动向上级申请新增政府债券和再融资债券资金，以减轻财政还款压力，及时还本付息。</w:t>
      </w:r>
      <w:r>
        <w:rPr>
          <w:rFonts w:hint="eastAsia" w:ascii="仿宋_GB2312" w:hAnsi="仿宋_GB2312" w:eastAsia="仿宋_GB2312" w:cs="仿宋_GB2312"/>
          <w:b/>
          <w:bCs w:val="0"/>
          <w:color w:val="000000"/>
          <w:kern w:val="2"/>
          <w:sz w:val="32"/>
          <w:szCs w:val="32"/>
          <w:lang w:val="en-US" w:eastAsia="zh-CN" w:bidi="ar-SA"/>
        </w:rPr>
        <w:t>三是规范举债制度。</w:t>
      </w:r>
      <w:r>
        <w:rPr>
          <w:rFonts w:hint="eastAsia" w:ascii="仿宋_GB2312" w:hAnsi="仿宋_GB2312" w:eastAsia="仿宋_GB2312" w:cs="仿宋_GB2312"/>
          <w:b w:val="0"/>
          <w:bCs/>
          <w:color w:val="000000"/>
          <w:kern w:val="2"/>
          <w:sz w:val="32"/>
          <w:szCs w:val="32"/>
          <w:lang w:val="en-US" w:eastAsia="zh-CN" w:bidi="ar-SA"/>
        </w:rPr>
        <w:t>规范举债行为，严格确定偿债责任主体，完善监测和预警机制，有效化解债务风险。</w:t>
      </w:r>
    </w:p>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30"/>
        <w:jc w:val="both"/>
        <w:textAlignment w:val="auto"/>
        <w:rPr>
          <w:rFonts w:hint="eastAsia" w:ascii="仿宋_GB2312" w:hAnsi="仿宋_GB2312" w:eastAsia="仿宋_GB2312" w:cs="仿宋_GB2312"/>
          <w:color w:val="222222"/>
          <w:kern w:val="2"/>
          <w:sz w:val="32"/>
          <w:szCs w:val="32"/>
          <w:shd w:val="clear" w:color="auto" w:fill="FFFFFF"/>
        </w:rPr>
      </w:pPr>
      <w:r>
        <w:rPr>
          <w:rFonts w:hint="eastAsia" w:ascii="仿宋_GB2312" w:hAnsi="仿宋_GB2312" w:eastAsia="仿宋_GB2312" w:cs="仿宋_GB2312"/>
          <w:color w:val="222222"/>
          <w:kern w:val="2"/>
          <w:sz w:val="32"/>
          <w:szCs w:val="32"/>
          <w:shd w:val="clear" w:color="auto" w:fill="FFFFFF"/>
          <w:lang w:val="en-US" w:eastAsia="zh-CN"/>
        </w:rPr>
        <w:t xml:space="preserve">    </w:t>
      </w:r>
      <w:r>
        <w:rPr>
          <w:rFonts w:hint="eastAsia" w:ascii="仿宋_GB2312" w:hAnsi="仿宋_GB2312" w:eastAsia="仿宋_GB2312" w:cs="仿宋_GB2312"/>
          <w:color w:val="222222"/>
          <w:kern w:val="2"/>
          <w:sz w:val="32"/>
          <w:szCs w:val="32"/>
          <w:shd w:val="clear" w:color="auto" w:fill="FFFFFF"/>
          <w:lang w:eastAsia="zh-CN"/>
        </w:rPr>
        <w:t>各位代表</w:t>
      </w:r>
      <w:r>
        <w:rPr>
          <w:rFonts w:hint="eastAsia" w:ascii="仿宋_GB2312" w:hAnsi="仿宋_GB2312" w:eastAsia="仿宋_GB2312" w:cs="仿宋_GB2312"/>
          <w:color w:val="222222"/>
          <w:kern w:val="2"/>
          <w:sz w:val="32"/>
          <w:szCs w:val="32"/>
          <w:shd w:val="clear" w:color="auto" w:fill="FFFFFF"/>
        </w:rPr>
        <w:t>，202</w:t>
      </w:r>
      <w:r>
        <w:rPr>
          <w:rFonts w:hint="eastAsia" w:ascii="仿宋_GB2312" w:hAnsi="仿宋_GB2312" w:eastAsia="仿宋_GB2312" w:cs="仿宋_GB2312"/>
          <w:color w:val="222222"/>
          <w:kern w:val="2"/>
          <w:sz w:val="32"/>
          <w:szCs w:val="32"/>
          <w:shd w:val="clear" w:color="auto" w:fill="FFFFFF"/>
          <w:lang w:val="en-US" w:eastAsia="zh-CN"/>
        </w:rPr>
        <w:t>2</w:t>
      </w:r>
      <w:r>
        <w:rPr>
          <w:rFonts w:hint="eastAsia" w:ascii="仿宋_GB2312" w:hAnsi="仿宋_GB2312" w:eastAsia="仿宋_GB2312" w:cs="仿宋_GB2312"/>
          <w:color w:val="222222"/>
          <w:kern w:val="2"/>
          <w:sz w:val="32"/>
          <w:szCs w:val="32"/>
          <w:shd w:val="clear" w:color="auto" w:fill="FFFFFF"/>
        </w:rPr>
        <w:t>年财政收支任务艰巨，责任重大!我们将继续在区委的正确领导下，在区人大的监督指导下，</w:t>
      </w:r>
      <w:r>
        <w:rPr>
          <w:rFonts w:hint="eastAsia" w:ascii="仿宋_GB2312" w:hAnsi="仿宋_GB2312" w:eastAsia="仿宋_GB2312" w:cs="仿宋_GB2312"/>
          <w:color w:val="222222"/>
          <w:kern w:val="2"/>
          <w:sz w:val="32"/>
          <w:szCs w:val="32"/>
          <w:shd w:val="clear" w:color="auto" w:fill="FFFFFF"/>
          <w:lang w:val="en-US" w:eastAsia="zh-CN"/>
        </w:rPr>
        <w:t>锐意进取、埋头苦干、振奋精神、担当实干</w:t>
      </w:r>
      <w:r>
        <w:rPr>
          <w:rFonts w:hint="eastAsia" w:ascii="仿宋_GB2312" w:hAnsi="仿宋_GB2312" w:eastAsia="仿宋_GB2312" w:cs="仿宋_GB2312"/>
          <w:color w:val="222222"/>
          <w:kern w:val="2"/>
          <w:sz w:val="32"/>
          <w:szCs w:val="32"/>
          <w:shd w:val="clear" w:color="auto" w:fill="FFFFFF"/>
        </w:rPr>
        <w:t>，努力完成各项财政目标任务，为推进</w:t>
      </w:r>
      <w:r>
        <w:rPr>
          <w:rFonts w:hint="eastAsia" w:ascii="仿宋_GB2312" w:hAnsi="仿宋_GB2312" w:eastAsia="仿宋_GB2312" w:cs="仿宋_GB2312"/>
          <w:color w:val="222222"/>
          <w:kern w:val="2"/>
          <w:sz w:val="32"/>
          <w:szCs w:val="32"/>
          <w:shd w:val="clear" w:color="auto" w:fill="FFFFFF"/>
          <w:lang w:eastAsia="zh-CN"/>
        </w:rPr>
        <w:t>明山区建设发展</w:t>
      </w:r>
      <w:r>
        <w:rPr>
          <w:rFonts w:hint="eastAsia" w:ascii="仿宋_GB2312" w:hAnsi="仿宋_GB2312" w:eastAsia="仿宋_GB2312" w:cs="仿宋_GB2312"/>
          <w:color w:val="222222"/>
          <w:kern w:val="2"/>
          <w:sz w:val="32"/>
          <w:szCs w:val="32"/>
          <w:shd w:val="clear" w:color="auto" w:fill="FFFFFF"/>
        </w:rPr>
        <w:t>做出更大贡献</w:t>
      </w:r>
      <w:r>
        <w:rPr>
          <w:rFonts w:hint="eastAsia" w:ascii="仿宋_GB2312" w:hAnsi="仿宋_GB2312" w:eastAsia="仿宋_GB2312" w:cs="仿宋_GB2312"/>
          <w:color w:val="222222"/>
          <w:kern w:val="2"/>
          <w:sz w:val="32"/>
          <w:szCs w:val="32"/>
          <w:shd w:val="clear" w:color="auto" w:fill="FFFFFF"/>
          <w:lang w:eastAsia="zh-CN"/>
        </w:rPr>
        <w:t>！</w:t>
      </w:r>
    </w:p>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left="30" w:right="30" w:firstLine="602"/>
        <w:jc w:val="both"/>
        <w:textAlignment w:val="auto"/>
        <w:rPr>
          <w:rFonts w:hint="eastAsia" w:ascii="仿宋_GB2312" w:hAnsi="仿宋_GB2312" w:eastAsia="仿宋_GB2312" w:cs="仿宋_GB2312"/>
          <w:color w:val="222222"/>
          <w:sz w:val="32"/>
          <w:szCs w:val="32"/>
          <w:shd w:val="clear" w:color="auto" w:fill="FFFFFF"/>
        </w:rPr>
      </w:pPr>
    </w:p>
    <w:sectPr>
      <w:footerReference r:id="rId3" w:type="default"/>
      <w:type w:val="continuous"/>
      <w:pgSz w:w="11906" w:h="16838"/>
      <w:pgMar w:top="1417" w:right="1417" w:bottom="1417" w:left="1417" w:header="851" w:footer="992"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eastAsia="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ZKvhZ0QEAAKMDAAAOAAAAAAAAAAEAIAAAACIB&#10;AABkcnMvZTJvRG9jLnhtbFBLBQYAAAAABgAGAFkBAABlBQ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86483"/>
    <w:multiLevelType w:val="singleLevel"/>
    <w:tmpl w:val="E1686483"/>
    <w:lvl w:ilvl="0" w:tentative="0">
      <w:start w:val="1"/>
      <w:numFmt w:val="chineseCounting"/>
      <w:suff w:val="nothing"/>
      <w:lvlText w:val="（%1）"/>
      <w:lvlJc w:val="left"/>
      <w:pPr>
        <w:ind w:left="-2"/>
      </w:pPr>
      <w:rPr>
        <w:rFonts w:hint="eastAsia"/>
      </w:rPr>
    </w:lvl>
  </w:abstractNum>
  <w:abstractNum w:abstractNumId="1">
    <w:nsid w:val="5DEC61E0"/>
    <w:multiLevelType w:val="singleLevel"/>
    <w:tmpl w:val="5DEC61E0"/>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30B"/>
    <w:rsid w:val="00011673"/>
    <w:rsid w:val="000358A9"/>
    <w:rsid w:val="000539FE"/>
    <w:rsid w:val="001845CE"/>
    <w:rsid w:val="001F1A52"/>
    <w:rsid w:val="002360DE"/>
    <w:rsid w:val="002624A5"/>
    <w:rsid w:val="00280AAC"/>
    <w:rsid w:val="002F54E5"/>
    <w:rsid w:val="003470B4"/>
    <w:rsid w:val="00396537"/>
    <w:rsid w:val="003A2F3C"/>
    <w:rsid w:val="003B1633"/>
    <w:rsid w:val="003F4951"/>
    <w:rsid w:val="003F7C68"/>
    <w:rsid w:val="00494BBF"/>
    <w:rsid w:val="004A1FC1"/>
    <w:rsid w:val="004A22EA"/>
    <w:rsid w:val="004D6CEC"/>
    <w:rsid w:val="004E2450"/>
    <w:rsid w:val="005019E7"/>
    <w:rsid w:val="00511483"/>
    <w:rsid w:val="005513CF"/>
    <w:rsid w:val="005C795D"/>
    <w:rsid w:val="005E3DCC"/>
    <w:rsid w:val="00611436"/>
    <w:rsid w:val="00681D72"/>
    <w:rsid w:val="00683B71"/>
    <w:rsid w:val="006B0659"/>
    <w:rsid w:val="006E7F7F"/>
    <w:rsid w:val="006F5408"/>
    <w:rsid w:val="007500CA"/>
    <w:rsid w:val="007A2B76"/>
    <w:rsid w:val="007A36D5"/>
    <w:rsid w:val="0080573B"/>
    <w:rsid w:val="00845063"/>
    <w:rsid w:val="008E2B7A"/>
    <w:rsid w:val="00905B31"/>
    <w:rsid w:val="00951CA6"/>
    <w:rsid w:val="00966ADC"/>
    <w:rsid w:val="009931C6"/>
    <w:rsid w:val="009B7615"/>
    <w:rsid w:val="009C0006"/>
    <w:rsid w:val="009D4A2B"/>
    <w:rsid w:val="00A13B0A"/>
    <w:rsid w:val="00A31DEE"/>
    <w:rsid w:val="00A34D74"/>
    <w:rsid w:val="00A975C3"/>
    <w:rsid w:val="00AB5C4C"/>
    <w:rsid w:val="00AC0F2A"/>
    <w:rsid w:val="00AC7B31"/>
    <w:rsid w:val="00AF3F58"/>
    <w:rsid w:val="00B464F7"/>
    <w:rsid w:val="00B4710B"/>
    <w:rsid w:val="00BC58DC"/>
    <w:rsid w:val="00C1579A"/>
    <w:rsid w:val="00C51BB5"/>
    <w:rsid w:val="00C54C20"/>
    <w:rsid w:val="00CB0FB5"/>
    <w:rsid w:val="00D42B43"/>
    <w:rsid w:val="00D55E6C"/>
    <w:rsid w:val="00D57335"/>
    <w:rsid w:val="00D77CC5"/>
    <w:rsid w:val="00D9267F"/>
    <w:rsid w:val="00DB38CA"/>
    <w:rsid w:val="00DE1959"/>
    <w:rsid w:val="00DE2878"/>
    <w:rsid w:val="00E70000"/>
    <w:rsid w:val="00F131D3"/>
    <w:rsid w:val="00F22415"/>
    <w:rsid w:val="00F654C9"/>
    <w:rsid w:val="00F747B5"/>
    <w:rsid w:val="00FA61C5"/>
    <w:rsid w:val="00FE1C02"/>
    <w:rsid w:val="01435EC6"/>
    <w:rsid w:val="01510C74"/>
    <w:rsid w:val="01630F53"/>
    <w:rsid w:val="01B929A4"/>
    <w:rsid w:val="01EE7B4E"/>
    <w:rsid w:val="034D08F8"/>
    <w:rsid w:val="039472AD"/>
    <w:rsid w:val="040D7CC2"/>
    <w:rsid w:val="042F236B"/>
    <w:rsid w:val="04321E62"/>
    <w:rsid w:val="0491498E"/>
    <w:rsid w:val="04BB03B2"/>
    <w:rsid w:val="04BD5452"/>
    <w:rsid w:val="04DD3789"/>
    <w:rsid w:val="053520BD"/>
    <w:rsid w:val="05750484"/>
    <w:rsid w:val="057A05FD"/>
    <w:rsid w:val="06111AC1"/>
    <w:rsid w:val="06195204"/>
    <w:rsid w:val="065D5C69"/>
    <w:rsid w:val="067B1B9D"/>
    <w:rsid w:val="074D49D5"/>
    <w:rsid w:val="0772354D"/>
    <w:rsid w:val="077A3AA9"/>
    <w:rsid w:val="07945A6F"/>
    <w:rsid w:val="07A911B0"/>
    <w:rsid w:val="07CC3819"/>
    <w:rsid w:val="07E628CD"/>
    <w:rsid w:val="07FC6546"/>
    <w:rsid w:val="07FF3E92"/>
    <w:rsid w:val="08ED7043"/>
    <w:rsid w:val="092246C8"/>
    <w:rsid w:val="099B1411"/>
    <w:rsid w:val="09F5637F"/>
    <w:rsid w:val="0A0C57DE"/>
    <w:rsid w:val="0AA4060A"/>
    <w:rsid w:val="0AAC5CA4"/>
    <w:rsid w:val="0AC27D54"/>
    <w:rsid w:val="0B1D3967"/>
    <w:rsid w:val="0B76506A"/>
    <w:rsid w:val="0B8C6226"/>
    <w:rsid w:val="0C323D10"/>
    <w:rsid w:val="0C422D4C"/>
    <w:rsid w:val="0CE130C1"/>
    <w:rsid w:val="0CF44DCF"/>
    <w:rsid w:val="0CFA0588"/>
    <w:rsid w:val="0D0E5C77"/>
    <w:rsid w:val="0D9737BD"/>
    <w:rsid w:val="0DE8588B"/>
    <w:rsid w:val="0DFB0369"/>
    <w:rsid w:val="0E0007C7"/>
    <w:rsid w:val="0E1B1632"/>
    <w:rsid w:val="0E411B47"/>
    <w:rsid w:val="0E722040"/>
    <w:rsid w:val="0EA97F9C"/>
    <w:rsid w:val="0EE81E8D"/>
    <w:rsid w:val="0EE969D2"/>
    <w:rsid w:val="0EFC4DAE"/>
    <w:rsid w:val="0F2660A3"/>
    <w:rsid w:val="0F346A26"/>
    <w:rsid w:val="0F4D23B8"/>
    <w:rsid w:val="0FB020F2"/>
    <w:rsid w:val="0FC52C6E"/>
    <w:rsid w:val="0FE17F93"/>
    <w:rsid w:val="0FEE6FAE"/>
    <w:rsid w:val="1001119C"/>
    <w:rsid w:val="100B281C"/>
    <w:rsid w:val="104508A1"/>
    <w:rsid w:val="105F4FAD"/>
    <w:rsid w:val="109F478F"/>
    <w:rsid w:val="10D27BE5"/>
    <w:rsid w:val="10D83F65"/>
    <w:rsid w:val="10F927EA"/>
    <w:rsid w:val="11097DB2"/>
    <w:rsid w:val="112B71FA"/>
    <w:rsid w:val="11445A2A"/>
    <w:rsid w:val="11521E36"/>
    <w:rsid w:val="115721F1"/>
    <w:rsid w:val="115C5E53"/>
    <w:rsid w:val="11C66D28"/>
    <w:rsid w:val="11C70EBB"/>
    <w:rsid w:val="11DD0742"/>
    <w:rsid w:val="11E164E5"/>
    <w:rsid w:val="120324CE"/>
    <w:rsid w:val="120C0E6F"/>
    <w:rsid w:val="122512A7"/>
    <w:rsid w:val="12355AE5"/>
    <w:rsid w:val="12555D4C"/>
    <w:rsid w:val="12603A49"/>
    <w:rsid w:val="12F4154F"/>
    <w:rsid w:val="13DE6F27"/>
    <w:rsid w:val="13E602AC"/>
    <w:rsid w:val="13FF1E9E"/>
    <w:rsid w:val="142F7C98"/>
    <w:rsid w:val="143F1195"/>
    <w:rsid w:val="147E0C41"/>
    <w:rsid w:val="149E2862"/>
    <w:rsid w:val="14C62769"/>
    <w:rsid w:val="152B0850"/>
    <w:rsid w:val="159C48C9"/>
    <w:rsid w:val="15C212D7"/>
    <w:rsid w:val="15C97553"/>
    <w:rsid w:val="15E72703"/>
    <w:rsid w:val="16796844"/>
    <w:rsid w:val="16CD041F"/>
    <w:rsid w:val="176E3FC8"/>
    <w:rsid w:val="17E625C2"/>
    <w:rsid w:val="18121996"/>
    <w:rsid w:val="1858140E"/>
    <w:rsid w:val="18D02B0E"/>
    <w:rsid w:val="18DA6748"/>
    <w:rsid w:val="19171BF9"/>
    <w:rsid w:val="193551BC"/>
    <w:rsid w:val="193D45DE"/>
    <w:rsid w:val="199612E6"/>
    <w:rsid w:val="19E47E89"/>
    <w:rsid w:val="1A2A1211"/>
    <w:rsid w:val="1A301194"/>
    <w:rsid w:val="1A5B4D43"/>
    <w:rsid w:val="1A6D11BF"/>
    <w:rsid w:val="1A7D4B85"/>
    <w:rsid w:val="1AA069B9"/>
    <w:rsid w:val="1AA74317"/>
    <w:rsid w:val="1AAB7E1E"/>
    <w:rsid w:val="1B193226"/>
    <w:rsid w:val="1B604DF7"/>
    <w:rsid w:val="1BA00256"/>
    <w:rsid w:val="1BC642D6"/>
    <w:rsid w:val="1BDE5AE0"/>
    <w:rsid w:val="1C7B76BF"/>
    <w:rsid w:val="1C817B29"/>
    <w:rsid w:val="1C97269C"/>
    <w:rsid w:val="1CAF3510"/>
    <w:rsid w:val="1D3D5EFC"/>
    <w:rsid w:val="1D3F7112"/>
    <w:rsid w:val="1D446B4E"/>
    <w:rsid w:val="1D552882"/>
    <w:rsid w:val="1DB915E3"/>
    <w:rsid w:val="1DFC0D7B"/>
    <w:rsid w:val="1E0068A1"/>
    <w:rsid w:val="1E182253"/>
    <w:rsid w:val="1E3E3C4D"/>
    <w:rsid w:val="1E422931"/>
    <w:rsid w:val="1EAE381F"/>
    <w:rsid w:val="1F002364"/>
    <w:rsid w:val="1F0D4BF9"/>
    <w:rsid w:val="1F5A50CD"/>
    <w:rsid w:val="1F984CEB"/>
    <w:rsid w:val="1FF10D93"/>
    <w:rsid w:val="20330E67"/>
    <w:rsid w:val="203F1C57"/>
    <w:rsid w:val="206623A6"/>
    <w:rsid w:val="20A2782E"/>
    <w:rsid w:val="20B70D62"/>
    <w:rsid w:val="20C14BEC"/>
    <w:rsid w:val="20D0396C"/>
    <w:rsid w:val="20E7697A"/>
    <w:rsid w:val="20F078E9"/>
    <w:rsid w:val="212B2C80"/>
    <w:rsid w:val="214F5764"/>
    <w:rsid w:val="21A23616"/>
    <w:rsid w:val="21A70671"/>
    <w:rsid w:val="21CB5CE8"/>
    <w:rsid w:val="21D810D1"/>
    <w:rsid w:val="21F92411"/>
    <w:rsid w:val="22104E2E"/>
    <w:rsid w:val="2225032F"/>
    <w:rsid w:val="2282084D"/>
    <w:rsid w:val="22F26306"/>
    <w:rsid w:val="23B0469D"/>
    <w:rsid w:val="23C62962"/>
    <w:rsid w:val="23F37100"/>
    <w:rsid w:val="240F6DE9"/>
    <w:rsid w:val="24285696"/>
    <w:rsid w:val="24981A76"/>
    <w:rsid w:val="24A37600"/>
    <w:rsid w:val="24C368D1"/>
    <w:rsid w:val="24CC4F5B"/>
    <w:rsid w:val="251F2F17"/>
    <w:rsid w:val="25477969"/>
    <w:rsid w:val="259B6C4F"/>
    <w:rsid w:val="25F954DB"/>
    <w:rsid w:val="260849A8"/>
    <w:rsid w:val="2614202B"/>
    <w:rsid w:val="26311816"/>
    <w:rsid w:val="264D7B49"/>
    <w:rsid w:val="26B7438F"/>
    <w:rsid w:val="26FE5803"/>
    <w:rsid w:val="27561F51"/>
    <w:rsid w:val="2779049B"/>
    <w:rsid w:val="27A169E8"/>
    <w:rsid w:val="27EE06C6"/>
    <w:rsid w:val="28000086"/>
    <w:rsid w:val="281954D5"/>
    <w:rsid w:val="288E5166"/>
    <w:rsid w:val="28E4135E"/>
    <w:rsid w:val="2904235B"/>
    <w:rsid w:val="2908791B"/>
    <w:rsid w:val="291D2F01"/>
    <w:rsid w:val="29286EC6"/>
    <w:rsid w:val="29555D5F"/>
    <w:rsid w:val="29877B4E"/>
    <w:rsid w:val="29A22D54"/>
    <w:rsid w:val="29B05A79"/>
    <w:rsid w:val="29C54414"/>
    <w:rsid w:val="29C62FED"/>
    <w:rsid w:val="29D31CBA"/>
    <w:rsid w:val="29FE1F5E"/>
    <w:rsid w:val="2A037A26"/>
    <w:rsid w:val="2A493278"/>
    <w:rsid w:val="2A8D6202"/>
    <w:rsid w:val="2AD908DC"/>
    <w:rsid w:val="2AFA300F"/>
    <w:rsid w:val="2B0C239C"/>
    <w:rsid w:val="2B4D3CA8"/>
    <w:rsid w:val="2B8E78ED"/>
    <w:rsid w:val="2BE95392"/>
    <w:rsid w:val="2C095F02"/>
    <w:rsid w:val="2CC22A3F"/>
    <w:rsid w:val="2D044615"/>
    <w:rsid w:val="2D0C5F84"/>
    <w:rsid w:val="2D147EB7"/>
    <w:rsid w:val="2D6000D7"/>
    <w:rsid w:val="2D6E5AED"/>
    <w:rsid w:val="2D90124B"/>
    <w:rsid w:val="2D951D9C"/>
    <w:rsid w:val="2DAF6E4B"/>
    <w:rsid w:val="2E2F09F5"/>
    <w:rsid w:val="2E3360DC"/>
    <w:rsid w:val="2E7F1B12"/>
    <w:rsid w:val="2E843CE7"/>
    <w:rsid w:val="2E9B20BE"/>
    <w:rsid w:val="2EC43DCE"/>
    <w:rsid w:val="2EE7088F"/>
    <w:rsid w:val="2F2D0876"/>
    <w:rsid w:val="2F913ED6"/>
    <w:rsid w:val="30330C25"/>
    <w:rsid w:val="304F7A32"/>
    <w:rsid w:val="30665A25"/>
    <w:rsid w:val="314002A4"/>
    <w:rsid w:val="31695F3D"/>
    <w:rsid w:val="31912367"/>
    <w:rsid w:val="31A4248F"/>
    <w:rsid w:val="31AA0152"/>
    <w:rsid w:val="31AD779C"/>
    <w:rsid w:val="31CC2250"/>
    <w:rsid w:val="32080BC8"/>
    <w:rsid w:val="32216419"/>
    <w:rsid w:val="324E326C"/>
    <w:rsid w:val="32A66158"/>
    <w:rsid w:val="32CD0E32"/>
    <w:rsid w:val="338139AA"/>
    <w:rsid w:val="33C40CEB"/>
    <w:rsid w:val="34E72E7A"/>
    <w:rsid w:val="35114119"/>
    <w:rsid w:val="355E0C9B"/>
    <w:rsid w:val="35EA2E19"/>
    <w:rsid w:val="35F83552"/>
    <w:rsid w:val="367F7AF9"/>
    <w:rsid w:val="36CF25AA"/>
    <w:rsid w:val="37103EE5"/>
    <w:rsid w:val="375364E6"/>
    <w:rsid w:val="37540342"/>
    <w:rsid w:val="375C3D30"/>
    <w:rsid w:val="37D90383"/>
    <w:rsid w:val="37F76563"/>
    <w:rsid w:val="37FC459A"/>
    <w:rsid w:val="38222EEB"/>
    <w:rsid w:val="38506C10"/>
    <w:rsid w:val="38B300C4"/>
    <w:rsid w:val="38E31F97"/>
    <w:rsid w:val="38EC26FC"/>
    <w:rsid w:val="38F34EAD"/>
    <w:rsid w:val="390E71B0"/>
    <w:rsid w:val="39314ACD"/>
    <w:rsid w:val="39560D4E"/>
    <w:rsid w:val="39784BDC"/>
    <w:rsid w:val="39DA6D4E"/>
    <w:rsid w:val="39DF1421"/>
    <w:rsid w:val="39F529AE"/>
    <w:rsid w:val="3A8A2E97"/>
    <w:rsid w:val="3A8B6F56"/>
    <w:rsid w:val="3AB27C44"/>
    <w:rsid w:val="3AC42414"/>
    <w:rsid w:val="3B16476C"/>
    <w:rsid w:val="3B227B92"/>
    <w:rsid w:val="3B4E3ED9"/>
    <w:rsid w:val="3B5D13A6"/>
    <w:rsid w:val="3B9B07AD"/>
    <w:rsid w:val="3BBA100A"/>
    <w:rsid w:val="3BD266B1"/>
    <w:rsid w:val="3BD727A6"/>
    <w:rsid w:val="3BD86F4F"/>
    <w:rsid w:val="3BEC3F8B"/>
    <w:rsid w:val="3BFA5677"/>
    <w:rsid w:val="3CA04C32"/>
    <w:rsid w:val="3CA843D1"/>
    <w:rsid w:val="3CB55D08"/>
    <w:rsid w:val="3D9F6699"/>
    <w:rsid w:val="3DC46143"/>
    <w:rsid w:val="3DCC57D7"/>
    <w:rsid w:val="3DD37143"/>
    <w:rsid w:val="3E0F72E0"/>
    <w:rsid w:val="3E5303BC"/>
    <w:rsid w:val="3E5B7622"/>
    <w:rsid w:val="3E9C5D1B"/>
    <w:rsid w:val="3EDC79F4"/>
    <w:rsid w:val="3EF74880"/>
    <w:rsid w:val="3F0874F8"/>
    <w:rsid w:val="3FA00970"/>
    <w:rsid w:val="400A0C66"/>
    <w:rsid w:val="40C87D40"/>
    <w:rsid w:val="40CA0C4B"/>
    <w:rsid w:val="41523BBA"/>
    <w:rsid w:val="41657EEC"/>
    <w:rsid w:val="416743DC"/>
    <w:rsid w:val="416E229D"/>
    <w:rsid w:val="41B3797C"/>
    <w:rsid w:val="41B70324"/>
    <w:rsid w:val="42321B59"/>
    <w:rsid w:val="42797AF6"/>
    <w:rsid w:val="42925687"/>
    <w:rsid w:val="433D2AE2"/>
    <w:rsid w:val="43744901"/>
    <w:rsid w:val="438E5100"/>
    <w:rsid w:val="43AC04A3"/>
    <w:rsid w:val="43B37EA1"/>
    <w:rsid w:val="441C556A"/>
    <w:rsid w:val="44986B87"/>
    <w:rsid w:val="44A13009"/>
    <w:rsid w:val="44BC02DC"/>
    <w:rsid w:val="44DE3488"/>
    <w:rsid w:val="44EE0B22"/>
    <w:rsid w:val="45177F6A"/>
    <w:rsid w:val="452F4E0F"/>
    <w:rsid w:val="46022619"/>
    <w:rsid w:val="46022679"/>
    <w:rsid w:val="462E4200"/>
    <w:rsid w:val="46345323"/>
    <w:rsid w:val="46AD3595"/>
    <w:rsid w:val="46D470F4"/>
    <w:rsid w:val="46F3076B"/>
    <w:rsid w:val="47284DB1"/>
    <w:rsid w:val="4738122A"/>
    <w:rsid w:val="476B747C"/>
    <w:rsid w:val="48797B9B"/>
    <w:rsid w:val="48837CCA"/>
    <w:rsid w:val="48883C4C"/>
    <w:rsid w:val="48BD691F"/>
    <w:rsid w:val="48CA3119"/>
    <w:rsid w:val="48CB08AE"/>
    <w:rsid w:val="490D4B68"/>
    <w:rsid w:val="49AC307C"/>
    <w:rsid w:val="4A5B5D0F"/>
    <w:rsid w:val="4A660C1F"/>
    <w:rsid w:val="4A7954B6"/>
    <w:rsid w:val="4A9D103A"/>
    <w:rsid w:val="4AD522D5"/>
    <w:rsid w:val="4AF81F40"/>
    <w:rsid w:val="4B0A7815"/>
    <w:rsid w:val="4B3E1F98"/>
    <w:rsid w:val="4B976EEA"/>
    <w:rsid w:val="4BD270B8"/>
    <w:rsid w:val="4C656784"/>
    <w:rsid w:val="4CA85D9C"/>
    <w:rsid w:val="4D175C92"/>
    <w:rsid w:val="4D1832EA"/>
    <w:rsid w:val="4D1E6EB8"/>
    <w:rsid w:val="4D202E7B"/>
    <w:rsid w:val="4D392F69"/>
    <w:rsid w:val="4D4D0021"/>
    <w:rsid w:val="4D7E0E31"/>
    <w:rsid w:val="4D9D6E3E"/>
    <w:rsid w:val="4DCF70A4"/>
    <w:rsid w:val="4DD30FEB"/>
    <w:rsid w:val="4DFA7542"/>
    <w:rsid w:val="4E2A0B30"/>
    <w:rsid w:val="4E2C224E"/>
    <w:rsid w:val="4E7203B9"/>
    <w:rsid w:val="4EFC1BCA"/>
    <w:rsid w:val="4F170AAB"/>
    <w:rsid w:val="4F5146A4"/>
    <w:rsid w:val="4F5607EF"/>
    <w:rsid w:val="4F7E15E9"/>
    <w:rsid w:val="4FD96104"/>
    <w:rsid w:val="4FFE4A15"/>
    <w:rsid w:val="5043603E"/>
    <w:rsid w:val="504D3319"/>
    <w:rsid w:val="50766A8C"/>
    <w:rsid w:val="508B437B"/>
    <w:rsid w:val="50A83D92"/>
    <w:rsid w:val="50B37AA2"/>
    <w:rsid w:val="51DA11F7"/>
    <w:rsid w:val="52A24987"/>
    <w:rsid w:val="52B77B9D"/>
    <w:rsid w:val="52F86BBD"/>
    <w:rsid w:val="53392A8B"/>
    <w:rsid w:val="5389368D"/>
    <w:rsid w:val="53BE63E1"/>
    <w:rsid w:val="53BE737D"/>
    <w:rsid w:val="540F452C"/>
    <w:rsid w:val="541636BE"/>
    <w:rsid w:val="54AB06CC"/>
    <w:rsid w:val="54B441BC"/>
    <w:rsid w:val="54CF214E"/>
    <w:rsid w:val="558A5142"/>
    <w:rsid w:val="558B2705"/>
    <w:rsid w:val="55AE59DF"/>
    <w:rsid w:val="56625A41"/>
    <w:rsid w:val="56956A45"/>
    <w:rsid w:val="569F4615"/>
    <w:rsid w:val="56D01644"/>
    <w:rsid w:val="56D133FC"/>
    <w:rsid w:val="5744488F"/>
    <w:rsid w:val="57A7781E"/>
    <w:rsid w:val="57B22ED2"/>
    <w:rsid w:val="57FA67A8"/>
    <w:rsid w:val="580C68D0"/>
    <w:rsid w:val="580D2BBA"/>
    <w:rsid w:val="582621F4"/>
    <w:rsid w:val="58836646"/>
    <w:rsid w:val="58D20349"/>
    <w:rsid w:val="58F11A36"/>
    <w:rsid w:val="5906339C"/>
    <w:rsid w:val="595E65BF"/>
    <w:rsid w:val="599E0097"/>
    <w:rsid w:val="59C36B07"/>
    <w:rsid w:val="5A017EF7"/>
    <w:rsid w:val="5A8D1F1E"/>
    <w:rsid w:val="5AB62721"/>
    <w:rsid w:val="5B256C92"/>
    <w:rsid w:val="5B7867DF"/>
    <w:rsid w:val="5B9E2CF5"/>
    <w:rsid w:val="5BA46976"/>
    <w:rsid w:val="5C236AAE"/>
    <w:rsid w:val="5CEE2982"/>
    <w:rsid w:val="5CF94B0F"/>
    <w:rsid w:val="5E4E0B16"/>
    <w:rsid w:val="5E503406"/>
    <w:rsid w:val="5E593AEC"/>
    <w:rsid w:val="5E687C70"/>
    <w:rsid w:val="5E7426F6"/>
    <w:rsid w:val="5E9C35C1"/>
    <w:rsid w:val="5ED142C6"/>
    <w:rsid w:val="5ED97034"/>
    <w:rsid w:val="5EF152F3"/>
    <w:rsid w:val="5F45455A"/>
    <w:rsid w:val="5F516F9F"/>
    <w:rsid w:val="5FD77D78"/>
    <w:rsid w:val="5FF95755"/>
    <w:rsid w:val="5FF96DAA"/>
    <w:rsid w:val="60104B28"/>
    <w:rsid w:val="612768D2"/>
    <w:rsid w:val="615B3F58"/>
    <w:rsid w:val="615F3C92"/>
    <w:rsid w:val="616B2CD2"/>
    <w:rsid w:val="61706FA6"/>
    <w:rsid w:val="61B43FBA"/>
    <w:rsid w:val="622823AD"/>
    <w:rsid w:val="6234766A"/>
    <w:rsid w:val="625073D2"/>
    <w:rsid w:val="625B007E"/>
    <w:rsid w:val="62A77146"/>
    <w:rsid w:val="62BC7C0A"/>
    <w:rsid w:val="62E91A8B"/>
    <w:rsid w:val="63C02011"/>
    <w:rsid w:val="63ED00F8"/>
    <w:rsid w:val="64424CEF"/>
    <w:rsid w:val="644C4E9D"/>
    <w:rsid w:val="6511176A"/>
    <w:rsid w:val="65D43A20"/>
    <w:rsid w:val="66886049"/>
    <w:rsid w:val="66A018E0"/>
    <w:rsid w:val="66AD1184"/>
    <w:rsid w:val="66B55BC1"/>
    <w:rsid w:val="66C57DA8"/>
    <w:rsid w:val="66C77E80"/>
    <w:rsid w:val="66EE60FB"/>
    <w:rsid w:val="67A709CC"/>
    <w:rsid w:val="67BB46F9"/>
    <w:rsid w:val="68073E0D"/>
    <w:rsid w:val="68246720"/>
    <w:rsid w:val="6829565B"/>
    <w:rsid w:val="684B783A"/>
    <w:rsid w:val="686B6B5C"/>
    <w:rsid w:val="687C00B1"/>
    <w:rsid w:val="68AD18CB"/>
    <w:rsid w:val="68C705E1"/>
    <w:rsid w:val="68DE5DB4"/>
    <w:rsid w:val="69187F79"/>
    <w:rsid w:val="694E39AE"/>
    <w:rsid w:val="69F05A5E"/>
    <w:rsid w:val="69FF1129"/>
    <w:rsid w:val="6A5247FE"/>
    <w:rsid w:val="6A7747F9"/>
    <w:rsid w:val="6B0F4AC5"/>
    <w:rsid w:val="6B6D29CC"/>
    <w:rsid w:val="6B9A352A"/>
    <w:rsid w:val="6C122AD6"/>
    <w:rsid w:val="6C976C2F"/>
    <w:rsid w:val="6C9E2FEE"/>
    <w:rsid w:val="6CA77AA2"/>
    <w:rsid w:val="6CF37A76"/>
    <w:rsid w:val="6CF4154E"/>
    <w:rsid w:val="6D040B4B"/>
    <w:rsid w:val="6D2334B1"/>
    <w:rsid w:val="6D284FE8"/>
    <w:rsid w:val="6D293FA7"/>
    <w:rsid w:val="6DC33611"/>
    <w:rsid w:val="6DE23670"/>
    <w:rsid w:val="6DF34CB2"/>
    <w:rsid w:val="6E126CD8"/>
    <w:rsid w:val="6E393DE4"/>
    <w:rsid w:val="6EB301BD"/>
    <w:rsid w:val="6ED1118F"/>
    <w:rsid w:val="6ED728FA"/>
    <w:rsid w:val="6F071862"/>
    <w:rsid w:val="6FA93D57"/>
    <w:rsid w:val="6FB1128F"/>
    <w:rsid w:val="6FCD2EA5"/>
    <w:rsid w:val="6FD91313"/>
    <w:rsid w:val="6FE412DF"/>
    <w:rsid w:val="70421CF2"/>
    <w:rsid w:val="70D86F61"/>
    <w:rsid w:val="70EF0B58"/>
    <w:rsid w:val="719D6617"/>
    <w:rsid w:val="71E32359"/>
    <w:rsid w:val="72033C17"/>
    <w:rsid w:val="7213191D"/>
    <w:rsid w:val="72387203"/>
    <w:rsid w:val="72401A80"/>
    <w:rsid w:val="724E3B4F"/>
    <w:rsid w:val="724F2A6E"/>
    <w:rsid w:val="725D27CB"/>
    <w:rsid w:val="728224C4"/>
    <w:rsid w:val="729A50B2"/>
    <w:rsid w:val="72C3651F"/>
    <w:rsid w:val="7321382F"/>
    <w:rsid w:val="73321875"/>
    <w:rsid w:val="73507882"/>
    <w:rsid w:val="73BE0F47"/>
    <w:rsid w:val="73C45836"/>
    <w:rsid w:val="73D70B56"/>
    <w:rsid w:val="741727D9"/>
    <w:rsid w:val="748B5DC2"/>
    <w:rsid w:val="74A61344"/>
    <w:rsid w:val="74E52987"/>
    <w:rsid w:val="74EF3B31"/>
    <w:rsid w:val="752846B4"/>
    <w:rsid w:val="7538395C"/>
    <w:rsid w:val="753A4BC0"/>
    <w:rsid w:val="756E1C38"/>
    <w:rsid w:val="75ED0447"/>
    <w:rsid w:val="765A6FE5"/>
    <w:rsid w:val="76E533A5"/>
    <w:rsid w:val="76F36EFD"/>
    <w:rsid w:val="76F77B3F"/>
    <w:rsid w:val="7731634C"/>
    <w:rsid w:val="773D3216"/>
    <w:rsid w:val="773F6788"/>
    <w:rsid w:val="774B5945"/>
    <w:rsid w:val="779F2A41"/>
    <w:rsid w:val="77DF2CA7"/>
    <w:rsid w:val="780D4739"/>
    <w:rsid w:val="78FB21C3"/>
    <w:rsid w:val="79883083"/>
    <w:rsid w:val="79D35987"/>
    <w:rsid w:val="79D42244"/>
    <w:rsid w:val="79E762F8"/>
    <w:rsid w:val="7A0A2C92"/>
    <w:rsid w:val="7A114166"/>
    <w:rsid w:val="7A1E09AC"/>
    <w:rsid w:val="7AA2075E"/>
    <w:rsid w:val="7AD4152D"/>
    <w:rsid w:val="7B0419BB"/>
    <w:rsid w:val="7B4041B0"/>
    <w:rsid w:val="7B473E98"/>
    <w:rsid w:val="7B57045C"/>
    <w:rsid w:val="7B6231C6"/>
    <w:rsid w:val="7BF662EE"/>
    <w:rsid w:val="7BFC5DF5"/>
    <w:rsid w:val="7C843E86"/>
    <w:rsid w:val="7C98478A"/>
    <w:rsid w:val="7D0B3DE2"/>
    <w:rsid w:val="7D0E4AF5"/>
    <w:rsid w:val="7D1D7A1F"/>
    <w:rsid w:val="7D41605D"/>
    <w:rsid w:val="7D6A59A2"/>
    <w:rsid w:val="7D9C15AB"/>
    <w:rsid w:val="7D9F110F"/>
    <w:rsid w:val="7DE97339"/>
    <w:rsid w:val="7E05360D"/>
    <w:rsid w:val="7E717572"/>
    <w:rsid w:val="7E742927"/>
    <w:rsid w:val="7E8D4C67"/>
    <w:rsid w:val="7E9633BF"/>
    <w:rsid w:val="7EAA134C"/>
    <w:rsid w:val="7EE67255"/>
    <w:rsid w:val="7F2775A2"/>
    <w:rsid w:val="7F555EC2"/>
    <w:rsid w:val="7F5C5267"/>
    <w:rsid w:val="7F7025A2"/>
    <w:rsid w:val="7F957D63"/>
    <w:rsid w:val="7FB4261A"/>
    <w:rsid w:val="7FE61764"/>
    <w:rsid w:val="7FF841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32"/>
      <w:szCs w:val="3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2">
    <w:name w:val="Default Paragraph Font"/>
    <w:link w:val="13"/>
    <w:semiHidden/>
    <w:uiPriority w:val="0"/>
  </w:style>
  <w:style w:type="table" w:default="1" w:styleId="10">
    <w:name w:val="Normal Table"/>
    <w:unhideWhenUsed/>
    <w:uiPriority w:val="99"/>
    <w:tblPr>
      <w:tblStyle w:val="10"/>
      <w:tblCellMar>
        <w:top w:w="0" w:type="dxa"/>
        <w:left w:w="108" w:type="dxa"/>
        <w:bottom w:w="0" w:type="dxa"/>
        <w:right w:w="108" w:type="dxa"/>
      </w:tblCellMar>
    </w:tblPr>
  </w:style>
  <w:style w:type="paragraph" w:customStyle="1" w:styleId="2">
    <w:name w:val="No Spacing1"/>
    <w:qFormat/>
    <w:uiPriority w:val="99"/>
    <w:pPr>
      <w:widowControl w:val="0"/>
      <w:jc w:val="both"/>
    </w:pPr>
    <w:rPr>
      <w:rFonts w:ascii="Calibri" w:hAnsi="Calibri" w:cs="Calibri"/>
      <w:kern w:val="2"/>
      <w:sz w:val="21"/>
      <w:szCs w:val="21"/>
      <w:lang w:val="en-US" w:eastAsia="zh-CN" w:bidi="ar-SA"/>
    </w:rPr>
  </w:style>
  <w:style w:type="paragraph" w:styleId="5">
    <w:name w:val="Body Text"/>
    <w:basedOn w:val="1"/>
    <w:uiPriority w:val="0"/>
    <w:pPr>
      <w:spacing w:after="120" w:afterLines="0"/>
    </w:pPr>
  </w:style>
  <w:style w:type="paragraph" w:styleId="6">
    <w:name w:val="footer"/>
    <w:basedOn w:val="1"/>
    <w:link w:val="19"/>
    <w:uiPriority w:val="99"/>
    <w:pPr>
      <w:tabs>
        <w:tab w:val="center" w:pos="4153"/>
        <w:tab w:val="right" w:pos="8306"/>
      </w:tabs>
      <w:snapToGrid w:val="0"/>
      <w:jc w:val="left"/>
    </w:pPr>
    <w:rPr>
      <w:rFonts w:ascii="Verdana" w:hAnsi="Verdana" w:eastAsia="仿宋_GB2312"/>
      <w:kern w:val="0"/>
      <w:sz w:val="28"/>
      <w:szCs w:val="20"/>
      <w:lang w:eastAsia="en-US"/>
    </w:rPr>
  </w:style>
  <w:style w:type="paragraph" w:styleId="7">
    <w:name w:val="header"/>
    <w:basedOn w:val="1"/>
    <w:next w:val="1"/>
    <w:link w:val="20"/>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styleId="9">
    <w:name w:val="Body Text First Indent"/>
    <w:basedOn w:val="5"/>
    <w:uiPriority w:val="0"/>
    <w:pPr>
      <w:ind w:firstLine="420" w:firstLineChars="100"/>
    </w:pPr>
    <w:rPr>
      <w:szCs w:val="20"/>
    </w:rPr>
  </w:style>
  <w:style w:type="table" w:styleId="11">
    <w:name w:val="Table Grid"/>
    <w:basedOn w:val="10"/>
    <w:unhideWhenUsed/>
    <w:uiPriority w:val="99"/>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默认段落字体 Para Char Char Char Char"/>
    <w:basedOn w:val="1"/>
    <w:link w:val="12"/>
    <w:qFormat/>
    <w:uiPriority w:val="0"/>
  </w:style>
  <w:style w:type="character" w:styleId="14">
    <w:name w:val="Strong"/>
    <w:basedOn w:val="12"/>
    <w:qFormat/>
    <w:uiPriority w:val="0"/>
    <w:rPr>
      <w:b/>
    </w:rPr>
  </w:style>
  <w:style w:type="character" w:styleId="15">
    <w:name w:val="page number"/>
    <w:basedOn w:val="12"/>
    <w:uiPriority w:val="0"/>
  </w:style>
  <w:style w:type="character" w:styleId="16">
    <w:name w:val="FollowedHyperlink"/>
    <w:basedOn w:val="12"/>
    <w:uiPriority w:val="0"/>
    <w:rPr>
      <w:color w:val="333333"/>
      <w:u w:val="none"/>
    </w:rPr>
  </w:style>
  <w:style w:type="character" w:styleId="17">
    <w:name w:val="Emphasis"/>
    <w:basedOn w:val="12"/>
    <w:qFormat/>
    <w:uiPriority w:val="0"/>
    <w:rPr>
      <w:i/>
    </w:rPr>
  </w:style>
  <w:style w:type="character" w:styleId="18">
    <w:name w:val="Hyperlink"/>
    <w:basedOn w:val="12"/>
    <w:uiPriority w:val="0"/>
    <w:rPr>
      <w:color w:val="333333"/>
      <w:u w:val="none"/>
    </w:rPr>
  </w:style>
  <w:style w:type="character" w:customStyle="1" w:styleId="19">
    <w:name w:val="页脚 Char"/>
    <w:link w:val="6"/>
    <w:uiPriority w:val="99"/>
    <w:rPr>
      <w:rFonts w:ascii="Verdana" w:hAnsi="Verdana" w:eastAsia="仿宋_GB2312"/>
      <w:kern w:val="0"/>
      <w:sz w:val="28"/>
      <w:szCs w:val="20"/>
      <w:lang w:eastAsia="en-US"/>
    </w:rPr>
  </w:style>
  <w:style w:type="character" w:customStyle="1" w:styleId="20">
    <w:name w:val="页眉 Char"/>
    <w:basedOn w:val="12"/>
    <w:link w:val="7"/>
    <w:uiPriority w:val="0"/>
    <w:rPr>
      <w:kern w:val="2"/>
      <w:sz w:val="18"/>
      <w:szCs w:val="18"/>
    </w:rPr>
  </w:style>
  <w:style w:type="character" w:customStyle="1" w:styleId="21">
    <w:name w:val="layui-layer-tabnow"/>
    <w:basedOn w:val="12"/>
    <w:uiPriority w:val="0"/>
    <w:rPr>
      <w:bdr w:val="single" w:color="CCCCCC" w:sz="6" w:space="0"/>
      <w:shd w:val="clear" w:color="auto" w:fill="FFFFFF"/>
    </w:rPr>
  </w:style>
  <w:style w:type="character" w:customStyle="1" w:styleId="22">
    <w:name w:val="页脚 Char Char Char"/>
    <w:basedOn w:val="12"/>
    <w:uiPriority w:val="0"/>
    <w:rPr>
      <w:kern w:val="2"/>
      <w:sz w:val="18"/>
      <w:szCs w:val="18"/>
    </w:rPr>
  </w:style>
  <w:style w:type="character" w:customStyle="1" w:styleId="23">
    <w:name w:val="样式5 Char Char"/>
    <w:basedOn w:val="12"/>
    <w:link w:val="24"/>
    <w:uiPriority w:val="0"/>
    <w:rPr>
      <w:rFonts w:eastAsia="黑体"/>
      <w:kern w:val="2"/>
      <w:sz w:val="32"/>
      <w:szCs w:val="32"/>
      <w:lang w:val="en-US" w:eastAsia="zh-CN" w:bidi="ar-SA"/>
    </w:rPr>
  </w:style>
  <w:style w:type="paragraph" w:customStyle="1" w:styleId="24">
    <w:name w:val="样式5"/>
    <w:basedOn w:val="1"/>
    <w:link w:val="23"/>
    <w:qFormat/>
    <w:uiPriority w:val="0"/>
    <w:pPr>
      <w:ind w:right="32" w:rightChars="8" w:firstLine="639" w:firstLineChars="200"/>
    </w:pPr>
    <w:rPr>
      <w:rFonts w:eastAsia="黑体"/>
    </w:rPr>
  </w:style>
  <w:style w:type="character" w:customStyle="1" w:styleId="25">
    <w:name w:val="正文文本_"/>
    <w:basedOn w:val="12"/>
    <w:qFormat/>
    <w:locked/>
    <w:uiPriority w:val="0"/>
    <w:rPr>
      <w:rFonts w:ascii="黑体" w:hAnsi="Courier New" w:eastAsia="黑体" w:cs="黑体"/>
      <w:sz w:val="30"/>
      <w:szCs w:val="30"/>
      <w:lang w:val="en-US" w:eastAsia="zh-CN" w:bidi="ar-SA"/>
    </w:rPr>
  </w:style>
  <w:style w:type="character" w:customStyle="1" w:styleId="26">
    <w:name w:val="neirong"/>
    <w:basedOn w:val="12"/>
    <w:uiPriority w:val="0"/>
  </w:style>
  <w:style w:type="character" w:customStyle="1" w:styleId="27">
    <w:name w:val="first-child"/>
    <w:basedOn w:val="12"/>
    <w:uiPriority w:val="0"/>
  </w:style>
  <w:style w:type="paragraph" w:customStyle="1" w:styleId="28">
    <w:name w:val="默认段落字体 Para Char"/>
    <w:basedOn w:val="1"/>
    <w:uiPriority w:val="0"/>
    <w:pPr>
      <w:adjustRightInd w:val="0"/>
      <w:spacing w:line="360" w:lineRule="auto"/>
    </w:pPr>
    <w:rPr>
      <w:kern w:val="0"/>
      <w:sz w:val="24"/>
      <w:szCs w:val="20"/>
    </w:rPr>
  </w:style>
  <w:style w:type="paragraph" w:customStyle="1" w:styleId="29">
    <w:name w:val="_Style 2"/>
    <w:basedOn w:val="1"/>
    <w:qFormat/>
    <w:uiPriority w:val="99"/>
    <w:pPr>
      <w:ind w:firstLine="420" w:firstLineChars="200"/>
    </w:pPr>
  </w:style>
  <w:style w:type="paragraph" w:customStyle="1" w:styleId="30">
    <w:name w:val="No Spacing"/>
    <w:qFormat/>
    <w:uiPriority w:val="0"/>
    <w:pPr>
      <w:adjustRightInd w:val="0"/>
      <w:snapToGrid w:val="0"/>
    </w:pPr>
    <w:rPr>
      <w:rFonts w:ascii="Tahoma" w:hAnsi="Tahoma" w:eastAsia="微软雅黑" w:cs="黑体"/>
      <w:sz w:val="22"/>
      <w:szCs w:val="22"/>
      <w:lang w:val="en-US" w:eastAsia="zh-CN" w:bidi="ar-SA"/>
    </w:rPr>
  </w:style>
  <w:style w:type="paragraph" w:customStyle="1" w:styleId="31">
    <w:name w:val="Char"/>
    <w:basedOn w:val="1"/>
    <w:uiPriority w:val="0"/>
  </w:style>
  <w:style w:type="paragraph" w:customStyle="1" w:styleId="32">
    <w:name w:val="List Paragraph"/>
    <w:basedOn w:val="1"/>
    <w:qFormat/>
    <w:uiPriority w:val="99"/>
    <w:pPr>
      <w:ind w:firstLine="420" w:firstLineChars="200"/>
    </w:pPr>
  </w:style>
  <w:style w:type="paragraph" w:customStyle="1" w:styleId="33">
    <w:name w:val=" Char"/>
    <w:basedOn w:val="1"/>
    <w:uiPriority w:val="0"/>
    <w:pPr>
      <w:widowControl/>
      <w:jc w:val="left"/>
    </w:pPr>
    <w:rPr>
      <w:rFonts w:ascii="Verdana" w:hAnsi="Verdana" w:eastAsia="仿宋_GB2312"/>
      <w:kern w:val="0"/>
      <w:sz w:val="28"/>
      <w:szCs w:val="20"/>
      <w:lang w:eastAsia="en-US"/>
    </w:rPr>
  </w:style>
  <w:style w:type="paragraph" w:customStyle="1" w:styleId="34">
    <w:name w:val="_Style 1"/>
    <w:basedOn w:val="1"/>
    <w:qFormat/>
    <w:uiPriority w:val="99"/>
    <w:pPr>
      <w:ind w:firstLine="420" w:firstLineChars="200"/>
    </w:pPr>
  </w:style>
  <w:style w:type="paragraph" w:customStyle="1" w:styleId="35">
    <w:name w:val="Char Char Char Char"/>
    <w:basedOn w:val="1"/>
    <w:semiHidden/>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预算处</Company>
  <Pages>20</Pages>
  <Words>1665</Words>
  <Characters>9493</Characters>
  <Lines>79</Lines>
  <Paragraphs>22</Paragraphs>
  <TotalTime>0</TotalTime>
  <ScaleCrop>false</ScaleCrop>
  <LinksUpToDate>false</LinksUpToDate>
  <CharactersWithSpaces>11136</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2015-12-25T06:16:00Z</dcterms:created>
  <dc:creator>USER</dc:creator>
  <cp:lastModifiedBy>大楠</cp:lastModifiedBy>
  <cp:lastPrinted>2021-11-26T04:05:34Z</cp:lastPrinted>
  <dcterms:modified xsi:type="dcterms:W3CDTF">2022-04-19T06:16:38Z</dcterms:modified>
  <dc:title>本溪市十五届人大</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6B4EC29CD6BD46A6883F72E1D67018A6</vt:lpwstr>
  </property>
</Properties>
</file>