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240" w:lineRule="auto"/>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240" w:lineRule="auto"/>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240" w:lineRule="auto"/>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240" w:lineRule="auto"/>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240" w:lineRule="auto"/>
        <w:jc w:val="center"/>
        <w:textAlignment w:val="baseline"/>
        <w:rPr>
          <w:rStyle w:val="6"/>
          <w:rFonts w:ascii="宋体" w:hAnsi="宋体"/>
          <w:b/>
          <w:i w:val="0"/>
          <w:caps w:val="0"/>
          <w:spacing w:val="0"/>
          <w:w w:val="100"/>
          <w:kern w:val="2"/>
          <w:sz w:val="52"/>
          <w:szCs w:val="52"/>
          <w:lang w:val="en-US" w:eastAsia="zh-CN" w:bidi="ar-SA"/>
        </w:rPr>
      </w:pPr>
      <w:r>
        <w:rPr>
          <w:rStyle w:val="6"/>
          <w:rFonts w:ascii="宋体" w:hAnsi="宋体"/>
          <w:b/>
          <w:i w:val="0"/>
          <w:caps w:val="0"/>
          <w:spacing w:val="0"/>
          <w:w w:val="100"/>
          <w:kern w:val="2"/>
          <w:sz w:val="52"/>
          <w:szCs w:val="52"/>
          <w:lang w:val="en-US" w:eastAsia="zh-CN" w:bidi="ar-SA"/>
        </w:rPr>
        <w:t>明山区教育事业发展服务中心2022年</w:t>
      </w:r>
    </w:p>
    <w:p>
      <w:pPr>
        <w:snapToGrid/>
        <w:spacing w:before="0" w:beforeAutospacing="0" w:after="0" w:afterAutospacing="0" w:line="240" w:lineRule="auto"/>
        <w:jc w:val="center"/>
        <w:textAlignment w:val="baseline"/>
        <w:rPr>
          <w:rStyle w:val="6"/>
          <w:rFonts w:ascii="楷体" w:hAnsi="楷体" w:eastAsia="楷体"/>
          <w:b/>
          <w:i w:val="0"/>
          <w:caps w:val="0"/>
          <w:spacing w:val="0"/>
          <w:w w:val="100"/>
          <w:kern w:val="2"/>
          <w:sz w:val="52"/>
          <w:szCs w:val="52"/>
          <w:lang w:val="en-US" w:eastAsia="zh-CN" w:bidi="ar-SA"/>
        </w:rPr>
      </w:pPr>
      <w:r>
        <w:rPr>
          <w:rStyle w:val="6"/>
          <w:rFonts w:ascii="宋体" w:hAnsi="宋体"/>
          <w:b/>
          <w:i w:val="0"/>
          <w:caps w:val="0"/>
          <w:spacing w:val="0"/>
          <w:w w:val="100"/>
          <w:kern w:val="2"/>
          <w:sz w:val="52"/>
          <w:szCs w:val="52"/>
          <w:lang w:val="en-US" w:eastAsia="zh-CN" w:bidi="ar-SA"/>
        </w:rPr>
        <w:t>部门预算</w:t>
      </w:r>
    </w:p>
    <w:p>
      <w:pPr>
        <w:snapToGrid/>
        <w:spacing w:before="0" w:beforeAutospacing="0" w:after="0" w:afterAutospacing="0" w:line="240" w:lineRule="auto"/>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240" w:lineRule="auto"/>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240" w:lineRule="auto"/>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240" w:lineRule="auto"/>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240" w:lineRule="auto"/>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240" w:lineRule="auto"/>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240" w:lineRule="auto"/>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240" w:lineRule="auto"/>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240" w:lineRule="auto"/>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240" w:lineRule="auto"/>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240" w:lineRule="auto"/>
        <w:jc w:val="center"/>
        <w:textAlignment w:val="baseline"/>
        <w:rPr>
          <w:rStyle w:val="6"/>
          <w:rFonts w:eastAsia="宋体"/>
          <w:b/>
          <w:i w:val="0"/>
          <w:caps w:val="0"/>
          <w:spacing w:val="0"/>
          <w:w w:val="100"/>
          <w:kern w:val="2"/>
          <w:sz w:val="44"/>
          <w:szCs w:val="44"/>
          <w:lang w:val="en-US" w:eastAsia="zh-CN" w:bidi="ar-SA"/>
        </w:rPr>
      </w:pPr>
      <w:r>
        <w:rPr>
          <w:rStyle w:val="6"/>
          <w:rFonts w:ascii="Times New Roman" w:hAnsi="Times New Roman" w:eastAsia="宋体"/>
          <w:b/>
          <w:i w:val="0"/>
          <w:caps w:val="0"/>
          <w:spacing w:val="0"/>
          <w:w w:val="100"/>
          <w:kern w:val="2"/>
          <w:sz w:val="36"/>
          <w:szCs w:val="36"/>
          <w:lang w:val="en-US" w:eastAsia="zh-CN" w:bidi="ar-SA"/>
        </w:rPr>
        <w:t>明山区</w:t>
      </w:r>
      <w:r>
        <w:rPr>
          <w:rStyle w:val="6"/>
          <w:rFonts w:ascii="宋体" w:hAnsi="宋体"/>
          <w:b/>
          <w:i w:val="0"/>
          <w:caps w:val="0"/>
          <w:spacing w:val="0"/>
          <w:w w:val="100"/>
          <w:kern w:val="2"/>
          <w:sz w:val="36"/>
          <w:szCs w:val="36"/>
          <w:lang w:val="en-US" w:eastAsia="zh-CN" w:bidi="ar-SA"/>
        </w:rPr>
        <w:t>教育事业发展服务中心</w:t>
      </w:r>
    </w:p>
    <w:p>
      <w:pPr>
        <w:snapToGrid/>
        <w:spacing w:before="0" w:beforeAutospacing="0" w:after="0" w:afterAutospacing="0" w:line="240" w:lineRule="auto"/>
        <w:jc w:val="center"/>
        <w:textAlignment w:val="baseline"/>
        <w:rPr>
          <w:rStyle w:val="6"/>
          <w:rFonts w:ascii="Times New Roman" w:hAnsi="Times New Roman" w:eastAsia="宋体"/>
          <w:b/>
          <w:i w:val="0"/>
          <w:caps w:val="0"/>
          <w:spacing w:val="0"/>
          <w:w w:val="100"/>
          <w:kern w:val="2"/>
          <w:sz w:val="36"/>
          <w:szCs w:val="36"/>
          <w:lang w:val="en-US" w:eastAsia="zh-CN" w:bidi="ar-SA"/>
        </w:rPr>
      </w:pPr>
      <w:r>
        <w:rPr>
          <w:rStyle w:val="6"/>
          <w:rFonts w:ascii="Times New Roman" w:hAnsi="Times New Roman" w:eastAsia="宋体"/>
          <w:b/>
          <w:i w:val="0"/>
          <w:caps w:val="0"/>
          <w:spacing w:val="0"/>
          <w:w w:val="100"/>
          <w:kern w:val="2"/>
          <w:sz w:val="36"/>
          <w:szCs w:val="36"/>
          <w:lang w:val="en-US" w:eastAsia="zh-CN" w:bidi="ar-SA"/>
        </w:rPr>
        <w:t>2022年04月11日</w:t>
      </w:r>
    </w:p>
    <w:p>
      <w:pPr>
        <w:snapToGrid/>
        <w:spacing w:before="0" w:beforeAutospacing="0" w:after="0" w:afterAutospacing="0" w:line="240" w:lineRule="auto"/>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240" w:lineRule="auto"/>
        <w:jc w:val="both"/>
        <w:textAlignment w:val="baseline"/>
        <w:rPr>
          <w:rStyle w:val="6"/>
          <w:rFonts w:ascii="Times New Roman" w:hAnsi="Times New Roman" w:eastAsia="宋体"/>
          <w:b/>
          <w:i w:val="0"/>
          <w:caps w:val="0"/>
          <w:spacing w:val="0"/>
          <w:w w:val="100"/>
          <w:kern w:val="2"/>
          <w:sz w:val="44"/>
          <w:szCs w:val="44"/>
          <w:lang w:val="en-US" w:eastAsia="zh-CN" w:bidi="ar-SA"/>
        </w:rPr>
      </w:pPr>
    </w:p>
    <w:p>
      <w:pPr>
        <w:snapToGrid/>
        <w:spacing w:before="0" w:beforeAutospacing="0" w:after="0" w:afterAutospacing="0" w:line="240" w:lineRule="auto"/>
        <w:jc w:val="center"/>
        <w:textAlignment w:val="baseline"/>
        <w:rPr>
          <w:rStyle w:val="6"/>
          <w:rFonts w:ascii="Times New Roman" w:hAnsi="Times New Roman" w:eastAsia="宋体"/>
          <w:b/>
          <w:i w:val="0"/>
          <w:caps w:val="0"/>
          <w:spacing w:val="0"/>
          <w:w w:val="100"/>
          <w:kern w:val="2"/>
          <w:sz w:val="44"/>
          <w:szCs w:val="44"/>
          <w:lang w:val="en-US" w:eastAsia="zh-CN" w:bidi="ar-SA"/>
        </w:rPr>
      </w:pPr>
    </w:p>
    <w:p>
      <w:pPr>
        <w:snapToGrid/>
        <w:spacing w:before="0" w:beforeAutospacing="0" w:after="0" w:afterAutospacing="0" w:line="240" w:lineRule="auto"/>
        <w:jc w:val="center"/>
        <w:textAlignment w:val="baseline"/>
        <w:rPr>
          <w:rStyle w:val="6"/>
          <w:rFonts w:ascii="Times New Roman" w:hAnsi="Times New Roman" w:eastAsia="宋体"/>
          <w:b/>
          <w:i w:val="0"/>
          <w:caps w:val="0"/>
          <w:spacing w:val="0"/>
          <w:w w:val="100"/>
          <w:kern w:val="2"/>
          <w:sz w:val="44"/>
          <w:szCs w:val="44"/>
          <w:lang w:val="en-US" w:eastAsia="zh-CN" w:bidi="ar-SA"/>
        </w:rPr>
      </w:pPr>
      <w:r>
        <w:rPr>
          <w:rStyle w:val="6"/>
          <w:rFonts w:ascii="Times New Roman" w:hAnsi="Times New Roman" w:eastAsia="宋体"/>
          <w:b/>
          <w:i w:val="0"/>
          <w:caps w:val="0"/>
          <w:spacing w:val="0"/>
          <w:w w:val="100"/>
          <w:kern w:val="2"/>
          <w:sz w:val="44"/>
          <w:szCs w:val="44"/>
          <w:lang w:val="en-US" w:eastAsia="zh-CN" w:bidi="ar-SA"/>
        </w:rPr>
        <w:t>目    录</w:t>
      </w:r>
    </w:p>
    <w:p>
      <w:pPr>
        <w:snapToGrid/>
        <w:spacing w:before="0" w:beforeAutospacing="0" w:after="0" w:afterAutospacing="0" w:line="240" w:lineRule="auto"/>
        <w:jc w:val="both"/>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240" w:lineRule="auto"/>
        <w:jc w:val="both"/>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第一部分   明山区教育事业发展服务中心概况</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仿宋_GB2312" w:hAnsi="黑体" w:eastAsia="仿宋_GB2312"/>
          <w:b w:val="0"/>
          <w:i w:val="0"/>
          <w:caps w:val="0"/>
          <w:spacing w:val="0"/>
          <w:w w:val="100"/>
          <w:kern w:val="2"/>
          <w:sz w:val="32"/>
          <w:szCs w:val="32"/>
          <w:lang w:val="en-US" w:eastAsia="zh-CN" w:bidi="ar-SA"/>
        </w:rPr>
        <w:t xml:space="preserve">    一、主要职责</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仿宋_GB2312" w:hAnsi="黑体" w:eastAsia="仿宋_GB2312"/>
          <w:b w:val="0"/>
          <w:i w:val="0"/>
          <w:caps w:val="0"/>
          <w:spacing w:val="0"/>
          <w:w w:val="100"/>
          <w:kern w:val="2"/>
          <w:sz w:val="32"/>
          <w:szCs w:val="32"/>
          <w:lang w:val="en-US" w:eastAsia="zh-CN" w:bidi="ar-SA"/>
        </w:rPr>
        <w:t xml:space="preserve">    二、机构设置</w:t>
      </w:r>
    </w:p>
    <w:p>
      <w:pPr>
        <w:snapToGrid/>
        <w:spacing w:before="0" w:beforeAutospacing="0" w:after="0" w:afterAutospacing="0" w:line="240" w:lineRule="auto"/>
        <w:jc w:val="both"/>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第二部分明山区教育事业发展服务中心2022年部门预算情况说明</w:t>
      </w:r>
    </w:p>
    <w:p>
      <w:pPr>
        <w:snapToGrid/>
        <w:spacing w:before="0" w:beforeAutospacing="0" w:after="0" w:afterAutospacing="0" w:line="240" w:lineRule="auto"/>
        <w:jc w:val="both"/>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第三部分   名词解释</w:t>
      </w:r>
    </w:p>
    <w:p>
      <w:pPr>
        <w:snapToGrid/>
        <w:spacing w:before="0" w:beforeAutospacing="0" w:after="0" w:afterAutospacing="0" w:line="240" w:lineRule="auto"/>
        <w:jc w:val="both"/>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第四部分   2022年明山区教育事业发展服务中心部门预算批复表</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 xml:space="preserve">    </w:t>
      </w:r>
      <w:r>
        <w:rPr>
          <w:rStyle w:val="6"/>
          <w:rFonts w:ascii="仿宋_GB2312" w:hAnsi="黑体" w:eastAsia="仿宋_GB2312"/>
          <w:b w:val="0"/>
          <w:i w:val="0"/>
          <w:caps w:val="0"/>
          <w:spacing w:val="0"/>
          <w:w w:val="100"/>
          <w:kern w:val="2"/>
          <w:sz w:val="32"/>
          <w:szCs w:val="32"/>
          <w:lang w:val="en-US" w:eastAsia="zh-CN" w:bidi="ar-SA"/>
        </w:rPr>
        <w:t>一、财政拨款收支预算总表</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 xml:space="preserve">    </w:t>
      </w:r>
      <w:r>
        <w:rPr>
          <w:rStyle w:val="6"/>
          <w:rFonts w:ascii="仿宋_GB2312" w:hAnsi="黑体" w:eastAsia="仿宋_GB2312"/>
          <w:b w:val="0"/>
          <w:i w:val="0"/>
          <w:caps w:val="0"/>
          <w:spacing w:val="0"/>
          <w:w w:val="100"/>
          <w:kern w:val="2"/>
          <w:sz w:val="32"/>
          <w:szCs w:val="32"/>
          <w:lang w:val="en-US" w:eastAsia="zh-CN" w:bidi="ar-SA"/>
        </w:rPr>
        <w:t>二、一般公共预算支出表</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 xml:space="preserve">    </w:t>
      </w:r>
      <w:r>
        <w:rPr>
          <w:rStyle w:val="6"/>
          <w:rFonts w:ascii="仿宋_GB2312" w:hAnsi="黑体" w:eastAsia="仿宋_GB2312"/>
          <w:b w:val="0"/>
          <w:i w:val="0"/>
          <w:caps w:val="0"/>
          <w:spacing w:val="0"/>
          <w:w w:val="100"/>
          <w:kern w:val="2"/>
          <w:sz w:val="32"/>
          <w:szCs w:val="32"/>
          <w:lang w:val="en-US" w:eastAsia="zh-CN" w:bidi="ar-SA"/>
        </w:rPr>
        <w:t>三、一般公共预算基本支出表</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 xml:space="preserve">    </w:t>
      </w:r>
      <w:r>
        <w:rPr>
          <w:rStyle w:val="6"/>
          <w:rFonts w:ascii="仿宋_GB2312" w:hAnsi="黑体" w:eastAsia="仿宋_GB2312"/>
          <w:b w:val="0"/>
          <w:i w:val="0"/>
          <w:caps w:val="0"/>
          <w:spacing w:val="0"/>
          <w:w w:val="100"/>
          <w:kern w:val="2"/>
          <w:sz w:val="32"/>
          <w:szCs w:val="32"/>
          <w:lang w:val="en-US" w:eastAsia="zh-CN" w:bidi="ar-SA"/>
        </w:rPr>
        <w:t>四、一般公共预算“三公”经费支出表</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 xml:space="preserve">    </w:t>
      </w:r>
      <w:r>
        <w:rPr>
          <w:rStyle w:val="6"/>
          <w:rFonts w:ascii="仿宋_GB2312" w:hAnsi="黑体" w:eastAsia="仿宋_GB2312"/>
          <w:b w:val="0"/>
          <w:i w:val="0"/>
          <w:caps w:val="0"/>
          <w:spacing w:val="0"/>
          <w:w w:val="100"/>
          <w:kern w:val="2"/>
          <w:sz w:val="32"/>
          <w:szCs w:val="32"/>
          <w:lang w:val="en-US" w:eastAsia="zh-CN" w:bidi="ar-SA"/>
        </w:rPr>
        <w:t>五、政府性基金预算支出表</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 xml:space="preserve">    </w:t>
      </w:r>
      <w:r>
        <w:rPr>
          <w:rStyle w:val="6"/>
          <w:rFonts w:ascii="仿宋_GB2312" w:hAnsi="黑体" w:eastAsia="仿宋_GB2312"/>
          <w:b w:val="0"/>
          <w:i w:val="0"/>
          <w:caps w:val="0"/>
          <w:spacing w:val="0"/>
          <w:w w:val="100"/>
          <w:kern w:val="2"/>
          <w:sz w:val="32"/>
          <w:szCs w:val="32"/>
          <w:lang w:val="en-US" w:eastAsia="zh-CN" w:bidi="ar-SA"/>
        </w:rPr>
        <w:t>六、部门收支预算总表</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 xml:space="preserve">    </w:t>
      </w:r>
      <w:r>
        <w:rPr>
          <w:rStyle w:val="6"/>
          <w:rFonts w:ascii="仿宋_GB2312" w:hAnsi="黑体" w:eastAsia="仿宋_GB2312"/>
          <w:b w:val="0"/>
          <w:i w:val="0"/>
          <w:caps w:val="0"/>
          <w:spacing w:val="0"/>
          <w:w w:val="100"/>
          <w:kern w:val="2"/>
          <w:sz w:val="32"/>
          <w:szCs w:val="32"/>
          <w:lang w:val="en-US" w:eastAsia="zh-CN" w:bidi="ar-SA"/>
        </w:rPr>
        <w:t>七、部门收入预算总表</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 xml:space="preserve">    </w:t>
      </w:r>
      <w:r>
        <w:rPr>
          <w:rStyle w:val="6"/>
          <w:rFonts w:ascii="仿宋_GB2312" w:hAnsi="黑体" w:eastAsia="仿宋_GB2312"/>
          <w:b w:val="0"/>
          <w:i w:val="0"/>
          <w:caps w:val="0"/>
          <w:spacing w:val="0"/>
          <w:w w:val="100"/>
          <w:kern w:val="2"/>
          <w:sz w:val="32"/>
          <w:szCs w:val="32"/>
          <w:lang w:val="en-US" w:eastAsia="zh-CN" w:bidi="ar-SA"/>
        </w:rPr>
        <w:t>八、部门支出预算总表</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 xml:space="preserve">    </w:t>
      </w:r>
      <w:r>
        <w:rPr>
          <w:rStyle w:val="6"/>
          <w:rFonts w:ascii="仿宋_GB2312" w:hAnsi="黑体" w:eastAsia="仿宋_GB2312"/>
          <w:b w:val="0"/>
          <w:i w:val="0"/>
          <w:caps w:val="0"/>
          <w:spacing w:val="0"/>
          <w:w w:val="100"/>
          <w:kern w:val="2"/>
          <w:sz w:val="32"/>
          <w:szCs w:val="32"/>
          <w:lang w:val="en-US" w:eastAsia="zh-CN" w:bidi="ar-SA"/>
        </w:rPr>
        <w:t>九、政府采购计划表</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 xml:space="preserve">    </w:t>
      </w:r>
      <w:r>
        <w:rPr>
          <w:rStyle w:val="6"/>
          <w:rFonts w:ascii="仿宋_GB2312" w:hAnsi="黑体" w:eastAsia="仿宋_GB2312"/>
          <w:b w:val="0"/>
          <w:i w:val="0"/>
          <w:caps w:val="0"/>
          <w:spacing w:val="0"/>
          <w:w w:val="100"/>
          <w:kern w:val="2"/>
          <w:sz w:val="32"/>
          <w:szCs w:val="32"/>
          <w:lang w:val="en-US" w:eastAsia="zh-CN" w:bidi="ar-SA"/>
        </w:rPr>
        <w:t>十、政府预算经济分类支出预算表</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黑体" w:hAnsi="黑体" w:eastAsia="黑体"/>
          <w:b w:val="0"/>
          <w:i w:val="0"/>
          <w:caps w:val="0"/>
          <w:color w:val="FF0000"/>
          <w:spacing w:val="0"/>
          <w:w w:val="100"/>
          <w:kern w:val="2"/>
          <w:sz w:val="32"/>
          <w:szCs w:val="32"/>
          <w:lang w:val="en-US" w:eastAsia="zh-CN" w:bidi="ar-SA"/>
        </w:rPr>
        <w:t xml:space="preserve">   </w:t>
      </w:r>
      <w:r>
        <w:rPr>
          <w:rStyle w:val="6"/>
          <w:rFonts w:ascii="仿宋_GB2312" w:hAnsi="黑体" w:eastAsia="仿宋_GB2312"/>
          <w:b w:val="0"/>
          <w:i w:val="0"/>
          <w:caps w:val="0"/>
          <w:spacing w:val="0"/>
          <w:w w:val="100"/>
          <w:kern w:val="2"/>
          <w:sz w:val="32"/>
          <w:szCs w:val="32"/>
          <w:lang w:val="en-US" w:eastAsia="zh-CN" w:bidi="ar-SA"/>
        </w:rPr>
        <w:t xml:space="preserve"> 十一、项目支出明细表</w:t>
      </w:r>
    </w:p>
    <w:p>
      <w:pPr>
        <w:snapToGrid/>
        <w:spacing w:before="0" w:beforeAutospacing="0" w:after="0" w:afterAutospacing="0" w:line="240" w:lineRule="auto"/>
        <w:jc w:val="center"/>
        <w:textAlignment w:val="baseline"/>
        <w:rPr>
          <w:rStyle w:val="6"/>
          <w:rFonts w:ascii="宋体" w:hAnsi="宋体"/>
          <w:b/>
          <w:i w:val="0"/>
          <w:caps w:val="0"/>
          <w:spacing w:val="0"/>
          <w:w w:val="100"/>
          <w:kern w:val="2"/>
          <w:sz w:val="36"/>
          <w:szCs w:val="36"/>
          <w:lang w:val="en-US" w:eastAsia="zh-CN" w:bidi="ar-SA"/>
        </w:rPr>
      </w:pPr>
      <w:r>
        <w:rPr>
          <w:rStyle w:val="6"/>
          <w:rFonts w:ascii="宋体" w:hAnsi="宋体"/>
          <w:b/>
          <w:i w:val="0"/>
          <w:caps w:val="0"/>
          <w:spacing w:val="0"/>
          <w:w w:val="100"/>
          <w:kern w:val="2"/>
          <w:sz w:val="36"/>
          <w:szCs w:val="36"/>
          <w:lang w:val="en-US" w:eastAsia="zh-CN" w:bidi="ar-SA"/>
        </w:rPr>
        <w:t>第一部分 明山区教育事业发展服务中心概况</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黑体" w:hAnsi="黑体" w:eastAsia="黑体" w:cs="黑体"/>
          <w:b/>
          <w:bCs/>
          <w:i w:val="0"/>
          <w:caps w:val="0"/>
          <w:spacing w:val="0"/>
          <w:w w:val="100"/>
          <w:kern w:val="2"/>
          <w:sz w:val="32"/>
          <w:szCs w:val="32"/>
          <w:lang w:val="en-US" w:eastAsia="zh-CN" w:bidi="ar-SA"/>
        </w:rPr>
        <w:t>一、主要职责：</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仿宋_GB2312" w:hAnsi="黑体" w:eastAsia="仿宋_GB2312"/>
          <w:b w:val="0"/>
          <w:i w:val="0"/>
          <w:caps w:val="0"/>
          <w:spacing w:val="0"/>
          <w:w w:val="100"/>
          <w:kern w:val="2"/>
          <w:sz w:val="32"/>
          <w:szCs w:val="32"/>
          <w:lang w:val="en-US" w:eastAsia="zh-CN" w:bidi="ar-SA"/>
        </w:rPr>
        <w:t>（一）全面贯彻执行党的教育方针，认真落实政策法规；把社会主义核心价值观和党的建设融入教育教学全过程。</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仿宋_GB2312" w:hAnsi="黑体" w:eastAsia="仿宋_GB2312"/>
          <w:b w:val="0"/>
          <w:i w:val="0"/>
          <w:caps w:val="0"/>
          <w:spacing w:val="0"/>
          <w:w w:val="100"/>
          <w:kern w:val="2"/>
          <w:sz w:val="32"/>
          <w:szCs w:val="32"/>
          <w:lang w:val="en-US" w:eastAsia="zh-CN" w:bidi="ar-SA"/>
        </w:rPr>
        <w:t>（二）制定全区教研、科研、师训、干训、信息技术、德育等工作计划，并组织实施、检查、指导和总结。</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仿宋_GB2312" w:hAnsi="黑体" w:eastAsia="仿宋_GB2312"/>
          <w:b w:val="0"/>
          <w:i w:val="0"/>
          <w:caps w:val="0"/>
          <w:spacing w:val="0"/>
          <w:w w:val="100"/>
          <w:kern w:val="2"/>
          <w:sz w:val="32"/>
          <w:szCs w:val="32"/>
          <w:lang w:val="en-US" w:eastAsia="zh-CN" w:bidi="ar-SA"/>
        </w:rPr>
        <w:t>（三）对全区教育干部、教师进行全员继续教育，着重培养全区骨干校长和教师，提高干部、教师队伍素质。</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仿宋_GB2312" w:hAnsi="黑体" w:eastAsia="仿宋_GB2312"/>
          <w:b w:val="0"/>
          <w:i w:val="0"/>
          <w:caps w:val="0"/>
          <w:spacing w:val="0"/>
          <w:w w:val="100"/>
          <w:kern w:val="2"/>
          <w:sz w:val="32"/>
          <w:szCs w:val="32"/>
          <w:lang w:val="en-US" w:eastAsia="zh-CN" w:bidi="ar-SA"/>
        </w:rPr>
        <w:t>（四）承担区域三级课程实施工作，进行教学研究、教改实验和教育科研、继续教育、信息化教育等指导任务。</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仿宋_GB2312" w:hAnsi="黑体" w:eastAsia="仿宋_GB2312"/>
          <w:b w:val="0"/>
          <w:i w:val="0"/>
          <w:caps w:val="0"/>
          <w:spacing w:val="0"/>
          <w:w w:val="100"/>
          <w:kern w:val="2"/>
          <w:sz w:val="32"/>
          <w:szCs w:val="32"/>
          <w:lang w:val="en-US" w:eastAsia="zh-CN" w:bidi="ar-SA"/>
        </w:rPr>
        <w:t>（五）承担综合管理全区中高考、学业水平考试报名、考试组织实施、试卷保密工作及违规考生处理工作；承担全区中高考志愿填报及协调配合招生录取相关工作；负责组织区域内高考体检、外语口试工作。</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仿宋_GB2312" w:hAnsi="黑体" w:eastAsia="仿宋_GB2312"/>
          <w:b w:val="0"/>
          <w:i w:val="0"/>
          <w:caps w:val="0"/>
          <w:spacing w:val="0"/>
          <w:w w:val="100"/>
          <w:kern w:val="2"/>
          <w:sz w:val="32"/>
          <w:szCs w:val="32"/>
          <w:lang w:val="en-US" w:eastAsia="zh-CN" w:bidi="ar-SA"/>
        </w:rPr>
        <w:t>（六）承担全区儿童青少年校外教育和思想教育服务，儿童青少年教育保护，儿童青少年活动指导。</w:t>
      </w:r>
    </w:p>
    <w:p>
      <w:pPr>
        <w:snapToGrid/>
        <w:spacing w:before="0" w:beforeAutospacing="0" w:after="0" w:afterAutospacing="0" w:line="240" w:lineRule="auto"/>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仿宋_GB2312" w:hAnsi="黑体" w:eastAsia="仿宋_GB2312"/>
          <w:b w:val="0"/>
          <w:i w:val="0"/>
          <w:caps w:val="0"/>
          <w:spacing w:val="0"/>
          <w:w w:val="100"/>
          <w:kern w:val="2"/>
          <w:sz w:val="32"/>
          <w:szCs w:val="32"/>
          <w:lang w:val="en-US" w:eastAsia="zh-CN" w:bidi="ar-SA"/>
        </w:rPr>
        <w:t>（七）落实与基层学校联系体制，指导全区学校开展体艺教育活动，承担全区少年儿童的体艺特长辅导，组织全区少年儿童开展各项艺术体育活动。</w:t>
      </w:r>
    </w:p>
    <w:p>
      <w:pPr>
        <w:snapToGrid/>
        <w:spacing w:before="0" w:beforeAutospacing="0" w:after="0" w:afterAutospacing="0" w:line="240" w:lineRule="auto"/>
        <w:jc w:val="both"/>
        <w:textAlignment w:val="baseline"/>
        <w:rPr>
          <w:rStyle w:val="6"/>
          <w:rFonts w:ascii="仿宋" w:hAnsi="仿宋" w:eastAsia="仿宋"/>
          <w:b w:val="0"/>
          <w:i w:val="0"/>
          <w:caps w:val="0"/>
          <w:spacing w:val="0"/>
          <w:w w:val="100"/>
          <w:kern w:val="2"/>
          <w:sz w:val="30"/>
          <w:szCs w:val="30"/>
          <w:lang w:val="en-US" w:eastAsia="zh-CN" w:bidi="ar-SA"/>
        </w:rPr>
      </w:pPr>
      <w:r>
        <w:rPr>
          <w:rStyle w:val="6"/>
          <w:rFonts w:ascii="仿宋_GB2312" w:hAnsi="黑体" w:eastAsia="仿宋_GB2312"/>
          <w:b w:val="0"/>
          <w:i w:val="0"/>
          <w:caps w:val="0"/>
          <w:spacing w:val="0"/>
          <w:w w:val="100"/>
          <w:kern w:val="2"/>
          <w:sz w:val="32"/>
          <w:szCs w:val="32"/>
          <w:lang w:val="en-US" w:eastAsia="zh-CN" w:bidi="ar-SA"/>
        </w:rPr>
        <w:t>（八）负责明山区文体中心体育馆的日常管理，做好体育产业相关工作</w:t>
      </w:r>
      <w:r>
        <w:rPr>
          <w:rStyle w:val="6"/>
          <w:rFonts w:ascii="仿宋" w:hAnsi="仿宋" w:eastAsia="仿宋"/>
          <w:b w:val="0"/>
          <w:i w:val="0"/>
          <w:caps w:val="0"/>
          <w:spacing w:val="0"/>
          <w:w w:val="100"/>
          <w:kern w:val="2"/>
          <w:sz w:val="30"/>
          <w:szCs w:val="30"/>
          <w:lang w:val="en-US" w:eastAsia="zh-CN" w:bidi="ar-SA"/>
        </w:rPr>
        <w:t>。</w:t>
      </w:r>
    </w:p>
    <w:p>
      <w:pPr>
        <w:snapToGrid/>
        <w:spacing w:before="0" w:beforeAutospacing="0" w:after="0" w:afterAutospacing="0" w:line="240" w:lineRule="auto"/>
        <w:jc w:val="both"/>
        <w:textAlignment w:val="baseline"/>
        <w:rPr>
          <w:rStyle w:val="6"/>
          <w:rFonts w:ascii="黑体" w:hAnsi="黑体" w:eastAsia="黑体"/>
          <w:b w:val="0"/>
          <w:i w:val="0"/>
          <w:caps w:val="0"/>
          <w:spacing w:val="0"/>
          <w:w w:val="100"/>
          <w:kern w:val="2"/>
          <w:sz w:val="30"/>
          <w:szCs w:val="30"/>
          <w:lang w:val="en-US" w:eastAsia="zh-CN" w:bidi="ar-SA"/>
        </w:rPr>
      </w:pPr>
      <w:r>
        <w:rPr>
          <w:rStyle w:val="6"/>
          <w:rFonts w:ascii="黑体" w:hAnsi="黑体" w:eastAsia="黑体" w:cs="黑体"/>
          <w:b/>
          <w:bCs/>
          <w:i w:val="0"/>
          <w:caps w:val="0"/>
          <w:spacing w:val="0"/>
          <w:w w:val="100"/>
          <w:kern w:val="2"/>
          <w:sz w:val="32"/>
          <w:szCs w:val="32"/>
          <w:lang w:val="en-US" w:eastAsia="zh-CN" w:bidi="ar-SA"/>
        </w:rPr>
        <w:t>二、机构设置：</w:t>
      </w:r>
    </w:p>
    <w:p>
      <w:pPr>
        <w:snapToGrid/>
        <w:spacing w:before="0" w:beforeAutospacing="0" w:after="0" w:afterAutospacing="0" w:line="240" w:lineRule="auto"/>
        <w:ind w:firstLine="640" w:firstLineChars="200"/>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仿宋_GB2312" w:hAnsi="黑体" w:eastAsia="仿宋_GB2312"/>
          <w:b w:val="0"/>
          <w:i w:val="0"/>
          <w:caps w:val="0"/>
          <w:spacing w:val="0"/>
          <w:w w:val="100"/>
          <w:kern w:val="2"/>
          <w:sz w:val="32"/>
          <w:szCs w:val="32"/>
          <w:lang w:val="en-US" w:eastAsia="zh-CN" w:bidi="ar-SA"/>
        </w:rPr>
        <w:t>本中心设置内设机构4个，纳入明山区教育事业发展服务中心2022年部门决算编制范围的内设机构包括：</w:t>
      </w:r>
    </w:p>
    <w:p>
      <w:pPr>
        <w:snapToGrid/>
        <w:spacing w:before="0" w:beforeAutospacing="0" w:after="0" w:afterAutospacing="0" w:line="240" w:lineRule="auto"/>
        <w:ind w:firstLine="640" w:firstLineChars="200"/>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仿宋_GB2312" w:hAnsi="黑体" w:eastAsia="仿宋_GB2312"/>
          <w:b w:val="0"/>
          <w:i w:val="0"/>
          <w:caps w:val="0"/>
          <w:spacing w:val="0"/>
          <w:w w:val="100"/>
          <w:kern w:val="2"/>
          <w:sz w:val="32"/>
          <w:szCs w:val="32"/>
          <w:lang w:val="en-US" w:eastAsia="zh-CN" w:bidi="ar-SA"/>
        </w:rPr>
        <w:t>1、明山区教师进修学校</w:t>
      </w:r>
    </w:p>
    <w:p>
      <w:pPr>
        <w:snapToGrid/>
        <w:spacing w:before="0" w:beforeAutospacing="0" w:after="0" w:afterAutospacing="0" w:line="240" w:lineRule="auto"/>
        <w:ind w:firstLine="640" w:firstLineChars="200"/>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仿宋_GB2312" w:hAnsi="黑体" w:eastAsia="仿宋_GB2312"/>
          <w:b w:val="0"/>
          <w:i w:val="0"/>
          <w:caps w:val="0"/>
          <w:spacing w:val="0"/>
          <w:w w:val="100"/>
          <w:kern w:val="2"/>
          <w:sz w:val="32"/>
          <w:szCs w:val="32"/>
          <w:lang w:val="en-US" w:eastAsia="zh-CN" w:bidi="ar-SA"/>
        </w:rPr>
        <w:t>2、明山区招生考试委员会办公室</w:t>
      </w:r>
    </w:p>
    <w:p>
      <w:pPr>
        <w:snapToGrid/>
        <w:spacing w:before="0" w:beforeAutospacing="0" w:after="0" w:afterAutospacing="0" w:line="240" w:lineRule="auto"/>
        <w:ind w:firstLine="640" w:firstLineChars="200"/>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仿宋_GB2312" w:hAnsi="黑体" w:eastAsia="仿宋_GB2312"/>
          <w:b w:val="0"/>
          <w:i w:val="0"/>
          <w:caps w:val="0"/>
          <w:spacing w:val="0"/>
          <w:w w:val="100"/>
          <w:kern w:val="2"/>
          <w:sz w:val="32"/>
          <w:szCs w:val="32"/>
          <w:lang w:val="en-US" w:eastAsia="zh-CN" w:bidi="ar-SA"/>
        </w:rPr>
        <w:t>3、明山区青少年活动中心</w:t>
      </w:r>
    </w:p>
    <w:p>
      <w:pPr>
        <w:snapToGrid/>
        <w:spacing w:before="0" w:beforeAutospacing="0" w:after="0" w:afterAutospacing="0" w:line="240" w:lineRule="auto"/>
        <w:ind w:firstLine="640" w:firstLineChars="200"/>
        <w:jc w:val="both"/>
        <w:textAlignment w:val="baseline"/>
        <w:rPr>
          <w:rStyle w:val="6"/>
          <w:rFonts w:ascii="仿宋_GB2312" w:hAnsi="黑体" w:eastAsia="仿宋_GB2312"/>
          <w:b w:val="0"/>
          <w:i w:val="0"/>
          <w:caps w:val="0"/>
          <w:spacing w:val="0"/>
          <w:w w:val="100"/>
          <w:kern w:val="2"/>
          <w:sz w:val="32"/>
          <w:szCs w:val="32"/>
          <w:lang w:val="en-US" w:eastAsia="zh-CN" w:bidi="ar-SA"/>
        </w:rPr>
      </w:pPr>
      <w:r>
        <w:rPr>
          <w:rStyle w:val="6"/>
          <w:rFonts w:ascii="仿宋_GB2312" w:hAnsi="黑体" w:eastAsia="仿宋_GB2312"/>
          <w:b w:val="0"/>
          <w:i w:val="0"/>
          <w:caps w:val="0"/>
          <w:spacing w:val="0"/>
          <w:w w:val="100"/>
          <w:kern w:val="2"/>
          <w:sz w:val="32"/>
          <w:szCs w:val="32"/>
          <w:lang w:val="en-US" w:eastAsia="zh-CN" w:bidi="ar-SA"/>
        </w:rPr>
        <w:t>4、综合办公室</w:t>
      </w:r>
    </w:p>
    <w:p>
      <w:pPr>
        <w:widowControl/>
        <w:snapToGrid/>
        <w:spacing w:before="0" w:beforeAutospacing="0" w:after="0" w:afterAutospacing="0" w:line="480" w:lineRule="auto"/>
        <w:jc w:val="left"/>
        <w:textAlignment w:val="baseline"/>
        <w:rPr>
          <w:rStyle w:val="6"/>
          <w:rFonts w:ascii="仿宋_GB2312" w:hAnsi="宋体" w:eastAsia="仿宋_GB2312"/>
          <w:b w:val="0"/>
          <w:i w:val="0"/>
          <w:caps w:val="0"/>
          <w:spacing w:val="0"/>
          <w:w w:val="100"/>
          <w:kern w:val="0"/>
          <w:sz w:val="32"/>
          <w:szCs w:val="32"/>
          <w:lang w:val="en-US" w:eastAsia="zh-CN" w:bidi="ar-SA"/>
        </w:rPr>
      </w:pPr>
    </w:p>
    <w:p>
      <w:pPr>
        <w:snapToGrid/>
        <w:spacing w:before="0" w:beforeAutospacing="0" w:after="0" w:afterAutospacing="0" w:line="240" w:lineRule="auto"/>
        <w:ind w:firstLine="640" w:firstLineChars="200"/>
        <w:jc w:val="left"/>
        <w:textAlignment w:val="baseline"/>
        <w:rPr>
          <w:rStyle w:val="6"/>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240" w:lineRule="auto"/>
        <w:jc w:val="center"/>
        <w:textAlignment w:val="baseline"/>
        <w:rPr>
          <w:rStyle w:val="6"/>
          <w:rFonts w:ascii="宋体" w:hAnsi="宋体"/>
          <w:b/>
          <w:i w:val="0"/>
          <w:caps w:val="0"/>
          <w:spacing w:val="0"/>
          <w:w w:val="100"/>
          <w:kern w:val="2"/>
          <w:sz w:val="36"/>
          <w:szCs w:val="36"/>
          <w:lang w:val="en-US" w:eastAsia="zh-CN" w:bidi="ar-SA"/>
        </w:rPr>
      </w:pPr>
      <w:r>
        <w:rPr>
          <w:rStyle w:val="6"/>
          <w:rFonts w:ascii="宋体" w:hAnsi="宋体"/>
          <w:b/>
          <w:i w:val="0"/>
          <w:caps w:val="0"/>
          <w:spacing w:val="0"/>
          <w:w w:val="100"/>
          <w:kern w:val="2"/>
          <w:sz w:val="36"/>
          <w:szCs w:val="36"/>
          <w:lang w:val="en-US" w:eastAsia="zh-CN" w:bidi="ar-SA"/>
        </w:rPr>
        <w:t>第二部分 明山区教育事业发展服务中心2022年部门</w:t>
      </w:r>
    </w:p>
    <w:p>
      <w:pPr>
        <w:snapToGrid/>
        <w:spacing w:before="0" w:beforeAutospacing="0" w:after="0" w:afterAutospacing="0" w:line="240" w:lineRule="auto"/>
        <w:jc w:val="center"/>
        <w:textAlignment w:val="baseline"/>
        <w:rPr>
          <w:rStyle w:val="6"/>
          <w:rFonts w:ascii="宋体" w:hAnsi="宋体"/>
          <w:b/>
          <w:i w:val="0"/>
          <w:caps w:val="0"/>
          <w:spacing w:val="0"/>
          <w:w w:val="100"/>
          <w:kern w:val="2"/>
          <w:sz w:val="36"/>
          <w:szCs w:val="36"/>
          <w:lang w:val="en-US" w:eastAsia="zh-CN" w:bidi="ar-SA"/>
        </w:rPr>
      </w:pPr>
      <w:r>
        <w:rPr>
          <w:rStyle w:val="6"/>
          <w:rFonts w:ascii="宋体" w:hAnsi="宋体"/>
          <w:b/>
          <w:i w:val="0"/>
          <w:caps w:val="0"/>
          <w:spacing w:val="0"/>
          <w:w w:val="100"/>
          <w:kern w:val="2"/>
          <w:sz w:val="36"/>
          <w:szCs w:val="36"/>
          <w:lang w:val="en-US" w:eastAsia="zh-CN" w:bidi="ar-SA"/>
        </w:rPr>
        <w:t>预算情况说明</w:t>
      </w:r>
    </w:p>
    <w:p>
      <w:pPr>
        <w:snapToGrid/>
        <w:spacing w:before="0" w:beforeAutospacing="0" w:after="0" w:afterAutospacing="0" w:line="240" w:lineRule="auto"/>
        <w:jc w:val="both"/>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240" w:lineRule="auto"/>
        <w:ind w:firstLine="627" w:firstLineChars="196"/>
        <w:jc w:val="both"/>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一、收支预算的总体情况</w:t>
      </w:r>
    </w:p>
    <w:p>
      <w:pPr>
        <w:snapToGrid/>
        <w:spacing w:before="0" w:beforeAutospacing="0" w:after="0" w:afterAutospacing="0" w:line="240" w:lineRule="auto"/>
        <w:ind w:firstLine="660"/>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按照综合预算的原则，明山区教育事业发展服务中心所有收入和支出均纳入部门预算管理。其中：</w:t>
      </w:r>
    </w:p>
    <w:p>
      <w:pPr>
        <w:snapToGrid/>
        <w:spacing w:before="0" w:beforeAutospacing="0" w:after="0" w:afterAutospacing="0" w:line="240" w:lineRule="auto"/>
        <w:ind w:firstLine="660"/>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cs="Times New Roman"/>
          <w:b/>
          <w:bCs/>
          <w:i w:val="0"/>
          <w:caps w:val="0"/>
          <w:spacing w:val="0"/>
          <w:w w:val="100"/>
          <w:kern w:val="2"/>
          <w:sz w:val="32"/>
          <w:szCs w:val="32"/>
          <w:lang w:val="en-US" w:eastAsia="zh-CN" w:bidi="ar-SA"/>
        </w:rPr>
        <w:t>（一）收入预算76.6万元，</w:t>
      </w:r>
      <w:r>
        <w:rPr>
          <w:rStyle w:val="6"/>
          <w:rFonts w:ascii="仿宋_GB2312" w:hAnsi="宋体" w:eastAsia="仿宋_GB2312"/>
          <w:b w:val="0"/>
          <w:i w:val="0"/>
          <w:caps w:val="0"/>
          <w:spacing w:val="0"/>
          <w:w w:val="100"/>
          <w:kern w:val="2"/>
          <w:sz w:val="32"/>
          <w:szCs w:val="32"/>
          <w:lang w:val="en-US" w:eastAsia="zh-CN" w:bidi="ar-SA"/>
        </w:rPr>
        <w:t>包括：</w:t>
      </w:r>
    </w:p>
    <w:p>
      <w:pPr>
        <w:snapToGrid/>
        <w:spacing w:before="0" w:beforeAutospacing="0" w:after="0" w:afterAutospacing="0" w:line="240" w:lineRule="auto"/>
        <w:ind w:firstLine="660"/>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1.财政拨款收入76.6万元；</w:t>
      </w:r>
    </w:p>
    <w:p>
      <w:pPr>
        <w:snapToGrid/>
        <w:spacing w:before="0" w:beforeAutospacing="0" w:after="0" w:afterAutospacing="0" w:line="240" w:lineRule="auto"/>
        <w:ind w:firstLine="660"/>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2.纳入预算管理的行政事业性收费等非税收入0万元；</w:t>
      </w:r>
    </w:p>
    <w:p>
      <w:pPr>
        <w:snapToGrid/>
        <w:spacing w:before="0" w:beforeAutospacing="0" w:after="0" w:afterAutospacing="0" w:line="240" w:lineRule="auto"/>
        <w:ind w:firstLine="660"/>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cs="Times New Roman"/>
          <w:b/>
          <w:bCs/>
          <w:i w:val="0"/>
          <w:caps w:val="0"/>
          <w:spacing w:val="0"/>
          <w:w w:val="100"/>
          <w:kern w:val="2"/>
          <w:sz w:val="32"/>
          <w:szCs w:val="32"/>
          <w:lang w:val="en-US" w:eastAsia="zh-CN" w:bidi="ar-SA"/>
        </w:rPr>
        <w:t>（二）支出预算76.6万元，</w:t>
      </w:r>
      <w:r>
        <w:rPr>
          <w:rStyle w:val="6"/>
          <w:rFonts w:ascii="仿宋_GB2312" w:hAnsi="宋体" w:eastAsia="仿宋_GB2312"/>
          <w:b w:val="0"/>
          <w:i w:val="0"/>
          <w:caps w:val="0"/>
          <w:spacing w:val="0"/>
          <w:w w:val="100"/>
          <w:kern w:val="2"/>
          <w:sz w:val="32"/>
          <w:szCs w:val="32"/>
          <w:lang w:val="en-US" w:eastAsia="zh-CN" w:bidi="ar-SA"/>
        </w:rPr>
        <w:t>包括：</w:t>
      </w:r>
    </w:p>
    <w:p>
      <w:pPr>
        <w:snapToGrid/>
        <w:spacing w:before="0" w:beforeAutospacing="0" w:after="0" w:afterAutospacing="0" w:line="240" w:lineRule="auto"/>
        <w:ind w:firstLine="660"/>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 xml:space="preserve">1.基本支出0万元；     2.项目支出76.6万元。                </w:t>
      </w:r>
    </w:p>
    <w:p>
      <w:pPr>
        <w:snapToGrid/>
        <w:spacing w:before="0" w:beforeAutospacing="0" w:after="0" w:afterAutospacing="0" w:line="240" w:lineRule="auto"/>
        <w:ind w:firstLine="660"/>
        <w:jc w:val="both"/>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二、机关运行经费安排情况</w:t>
      </w:r>
    </w:p>
    <w:p>
      <w:pPr>
        <w:snapToGrid/>
        <w:spacing w:before="0" w:beforeAutospacing="0" w:after="0" w:afterAutospacing="0" w:line="240" w:lineRule="auto"/>
        <w:ind w:firstLine="645"/>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2022年明山区教育事业发展运行经费预算为</w:t>
      </w:r>
      <w:r>
        <w:rPr>
          <w:rStyle w:val="6"/>
          <w:rFonts w:ascii="仿宋_GB2312" w:hAnsi="宋体" w:eastAsia="仿宋_GB2312"/>
          <w:b w:val="0"/>
          <w:i w:val="0"/>
          <w:caps w:val="0"/>
          <w:color w:val="000000"/>
          <w:spacing w:val="0"/>
          <w:w w:val="100"/>
          <w:kern w:val="2"/>
          <w:sz w:val="32"/>
          <w:szCs w:val="32"/>
          <w:lang w:val="en-US" w:eastAsia="zh-CN" w:bidi="ar-SA"/>
        </w:rPr>
        <w:t>7.</w:t>
      </w:r>
      <w:r>
        <w:rPr>
          <w:rStyle w:val="6"/>
          <w:rFonts w:hint="default" w:ascii="仿宋_GB2312" w:hAnsi="宋体" w:eastAsia="仿宋_GB2312"/>
          <w:b w:val="0"/>
          <w:i w:val="0"/>
          <w:caps w:val="0"/>
          <w:color w:val="000000"/>
          <w:spacing w:val="0"/>
          <w:w w:val="100"/>
          <w:kern w:val="2"/>
          <w:sz w:val="32"/>
          <w:szCs w:val="32"/>
          <w:lang w:val="en-US" w:eastAsia="zh-CN" w:bidi="ar-SA"/>
        </w:rPr>
        <w:t>4</w:t>
      </w:r>
      <w:bookmarkStart w:id="0" w:name="_GoBack"/>
      <w:bookmarkEnd w:id="0"/>
      <w:r>
        <w:rPr>
          <w:rStyle w:val="6"/>
          <w:rFonts w:ascii="仿宋_GB2312" w:hAnsi="宋体" w:eastAsia="仿宋_GB2312"/>
          <w:b w:val="0"/>
          <w:i w:val="0"/>
          <w:caps w:val="0"/>
          <w:color w:val="000000"/>
          <w:spacing w:val="0"/>
          <w:w w:val="100"/>
          <w:kern w:val="2"/>
          <w:sz w:val="32"/>
          <w:szCs w:val="32"/>
          <w:lang w:val="en-US" w:eastAsia="zh-CN" w:bidi="ar-SA"/>
        </w:rPr>
        <w:t>万元</w:t>
      </w:r>
      <w:r>
        <w:rPr>
          <w:rStyle w:val="6"/>
          <w:rFonts w:ascii="仿宋_GB2312" w:hAnsi="宋体" w:eastAsia="仿宋_GB2312"/>
          <w:b w:val="0"/>
          <w:i w:val="0"/>
          <w:caps w:val="0"/>
          <w:spacing w:val="0"/>
          <w:w w:val="100"/>
          <w:kern w:val="2"/>
          <w:sz w:val="32"/>
          <w:szCs w:val="32"/>
          <w:lang w:val="en-US" w:eastAsia="zh-CN" w:bidi="ar-SA"/>
        </w:rPr>
        <w:t>，主要包括</w:t>
      </w:r>
      <w:r>
        <w:rPr>
          <w:rStyle w:val="6"/>
          <w:rFonts w:ascii="仿宋_GB2312" w:eastAsia="仿宋_GB2312"/>
          <w:b w:val="0"/>
          <w:i w:val="0"/>
          <w:caps w:val="0"/>
          <w:spacing w:val="0"/>
          <w:w w:val="100"/>
          <w:kern w:val="2"/>
          <w:sz w:val="32"/>
          <w:szCs w:val="32"/>
          <w:lang w:val="en-US" w:eastAsia="zh-CN" w:bidi="ar-SA"/>
        </w:rPr>
        <w:t>办公及印刷费、邮电费、会议费、福利费、日常维修费、专用材料及一般设备购置费以及其他费用。</w:t>
      </w:r>
    </w:p>
    <w:p>
      <w:pPr>
        <w:snapToGrid/>
        <w:spacing w:before="0" w:beforeAutospacing="0" w:after="0" w:afterAutospacing="0" w:line="240" w:lineRule="auto"/>
        <w:ind w:firstLine="660"/>
        <w:jc w:val="both"/>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三、政府采购情况</w:t>
      </w:r>
    </w:p>
    <w:p>
      <w:pPr>
        <w:snapToGrid/>
        <w:spacing w:before="0" w:beforeAutospacing="0" w:after="0" w:afterAutospacing="0" w:line="240" w:lineRule="auto"/>
        <w:ind w:firstLine="645"/>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2022年明山</w:t>
      </w:r>
      <w:r>
        <w:rPr>
          <w:rStyle w:val="6"/>
          <w:rFonts w:ascii="仿宋_GB2312" w:eastAsia="仿宋_GB2312"/>
          <w:b w:val="0"/>
          <w:i w:val="0"/>
          <w:caps w:val="0"/>
          <w:spacing w:val="0"/>
          <w:w w:val="100"/>
          <w:kern w:val="2"/>
          <w:sz w:val="32"/>
          <w:szCs w:val="32"/>
          <w:lang w:val="en-US" w:eastAsia="zh-CN" w:bidi="ar-SA"/>
        </w:rPr>
        <w:t>区教育事业发展服务中心安</w:t>
      </w:r>
      <w:r>
        <w:rPr>
          <w:rStyle w:val="6"/>
          <w:rFonts w:ascii="仿宋_GB2312" w:hAnsi="宋体" w:eastAsia="仿宋_GB2312"/>
          <w:b w:val="0"/>
          <w:i w:val="0"/>
          <w:caps w:val="0"/>
          <w:spacing w:val="0"/>
          <w:w w:val="100"/>
          <w:kern w:val="2"/>
          <w:sz w:val="32"/>
          <w:szCs w:val="32"/>
          <w:lang w:val="en-US" w:eastAsia="zh-CN" w:bidi="ar-SA"/>
        </w:rPr>
        <w:t>排政府采购预算0万元，其中：政府采购货物支出0万元，政府购买服务支出0万元，政府采购工程支出0万元。</w:t>
      </w:r>
    </w:p>
    <w:p>
      <w:pPr>
        <w:snapToGrid/>
        <w:spacing w:before="0" w:beforeAutospacing="0" w:after="0" w:afterAutospacing="0" w:line="240" w:lineRule="auto"/>
        <w:ind w:firstLine="660"/>
        <w:jc w:val="both"/>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四、“三公”经费预算情况</w:t>
      </w:r>
    </w:p>
    <w:p>
      <w:pPr>
        <w:snapToGrid/>
        <w:spacing w:before="0" w:beforeAutospacing="0" w:after="0" w:afterAutospacing="0" w:line="240" w:lineRule="auto"/>
        <w:ind w:firstLine="640" w:firstLineChars="200"/>
        <w:jc w:val="left"/>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2022年，明山区</w:t>
      </w:r>
      <w:r>
        <w:rPr>
          <w:rStyle w:val="6"/>
          <w:rFonts w:ascii="仿宋_GB2312" w:eastAsia="仿宋_GB2312"/>
          <w:b w:val="0"/>
          <w:i w:val="0"/>
          <w:caps w:val="0"/>
          <w:spacing w:val="0"/>
          <w:w w:val="100"/>
          <w:kern w:val="2"/>
          <w:sz w:val="32"/>
          <w:szCs w:val="32"/>
          <w:lang w:val="en-US" w:eastAsia="zh-CN" w:bidi="ar-SA"/>
        </w:rPr>
        <w:t>教育事业发展服务中心</w:t>
      </w:r>
      <w:r>
        <w:rPr>
          <w:rStyle w:val="6"/>
          <w:rFonts w:ascii="仿宋_GB2312" w:hAnsi="宋体" w:eastAsia="仿宋_GB2312"/>
          <w:b w:val="0"/>
          <w:i w:val="0"/>
          <w:caps w:val="0"/>
          <w:spacing w:val="0"/>
          <w:w w:val="100"/>
          <w:kern w:val="2"/>
          <w:sz w:val="32"/>
          <w:szCs w:val="32"/>
          <w:lang w:val="en-US" w:eastAsia="zh-CN" w:bidi="ar-SA"/>
        </w:rPr>
        <w:t>一般公共预算安排“三公”经费预算为0万元。其中：</w:t>
      </w:r>
    </w:p>
    <w:p>
      <w:pPr>
        <w:snapToGrid/>
        <w:spacing w:before="0" w:beforeAutospacing="0" w:after="0" w:afterAutospacing="0" w:line="240" w:lineRule="auto"/>
        <w:ind w:firstLine="640" w:firstLineChars="200"/>
        <w:jc w:val="left"/>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1.因公出国（境）费0万元。</w:t>
      </w:r>
    </w:p>
    <w:p>
      <w:pPr>
        <w:snapToGrid/>
        <w:spacing w:before="0" w:beforeAutospacing="0" w:after="0" w:afterAutospacing="0" w:line="240" w:lineRule="auto"/>
        <w:ind w:firstLine="640" w:firstLineChars="200"/>
        <w:jc w:val="left"/>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2.公务接待费0万元。</w:t>
      </w:r>
    </w:p>
    <w:p>
      <w:pPr>
        <w:snapToGrid/>
        <w:spacing w:before="0" w:beforeAutospacing="0" w:after="0" w:afterAutospacing="0" w:line="240" w:lineRule="auto"/>
        <w:ind w:firstLine="640" w:firstLineChars="200"/>
        <w:jc w:val="left"/>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3.公务用车购置及运行费0万元。</w:t>
      </w:r>
    </w:p>
    <w:p>
      <w:pPr>
        <w:snapToGrid/>
        <w:spacing w:before="0" w:beforeAutospacing="0" w:after="0" w:afterAutospacing="0" w:line="240" w:lineRule="auto"/>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6"/>
          <w:rFonts w:ascii="宋体" w:hAnsi="宋体"/>
          <w:b/>
          <w:i w:val="0"/>
          <w:caps w:val="0"/>
          <w:spacing w:val="0"/>
          <w:w w:val="100"/>
          <w:kern w:val="2"/>
          <w:sz w:val="36"/>
          <w:szCs w:val="36"/>
          <w:lang w:val="en-US" w:eastAsia="zh-CN" w:bidi="ar-SA"/>
        </w:rPr>
      </w:pPr>
      <w:r>
        <w:rPr>
          <w:rStyle w:val="6"/>
          <w:rFonts w:ascii="宋体" w:hAnsi="宋体"/>
          <w:b/>
          <w:i w:val="0"/>
          <w:caps w:val="0"/>
          <w:spacing w:val="0"/>
          <w:w w:val="100"/>
          <w:kern w:val="2"/>
          <w:sz w:val="36"/>
          <w:szCs w:val="36"/>
          <w:lang w:val="en-US" w:eastAsia="zh-CN" w:bidi="ar-SA"/>
        </w:rPr>
        <w:t>第三部分 名词解释</w:t>
      </w:r>
    </w:p>
    <w:p>
      <w:pPr>
        <w:snapToGrid/>
        <w:spacing w:before="0" w:beforeAutospacing="0" w:after="0" w:afterAutospacing="0" w:line="240" w:lineRule="auto"/>
        <w:jc w:val="center"/>
        <w:textAlignment w:val="baseline"/>
        <w:rPr>
          <w:rStyle w:val="6"/>
          <w:rFonts w:ascii="黑体" w:eastAsia="黑体"/>
          <w:b w:val="0"/>
          <w:i w:val="0"/>
          <w:caps w:val="0"/>
          <w:spacing w:val="0"/>
          <w:w w:val="100"/>
          <w:kern w:val="2"/>
          <w:sz w:val="36"/>
          <w:szCs w:val="36"/>
          <w:lang w:val="en-US" w:eastAsia="zh-CN" w:bidi="ar-SA"/>
        </w:rPr>
      </w:pPr>
    </w:p>
    <w:p>
      <w:pPr>
        <w:snapToGrid/>
        <w:spacing w:before="0" w:beforeAutospacing="0" w:after="0" w:afterAutospacing="0" w:line="240" w:lineRule="auto"/>
        <w:ind w:firstLine="643" w:firstLineChars="200"/>
        <w:jc w:val="left"/>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1.财政拨款收入：</w:t>
      </w:r>
      <w:r>
        <w:rPr>
          <w:rStyle w:val="6"/>
          <w:rFonts w:ascii="仿宋_GB2312" w:eastAsia="仿宋_GB2312"/>
          <w:b w:val="0"/>
          <w:i w:val="0"/>
          <w:caps w:val="0"/>
          <w:spacing w:val="0"/>
          <w:w w:val="100"/>
          <w:kern w:val="2"/>
          <w:sz w:val="32"/>
          <w:szCs w:val="32"/>
          <w:lang w:val="en-US" w:eastAsia="zh-CN" w:bidi="ar-SA"/>
        </w:rPr>
        <w:t>指财政当年拨付的资金。</w:t>
      </w:r>
    </w:p>
    <w:p>
      <w:pPr>
        <w:snapToGrid/>
        <w:spacing w:before="0" w:beforeAutospacing="0" w:after="0" w:afterAutospacing="0" w:line="240" w:lineRule="auto"/>
        <w:ind w:firstLine="643" w:firstLineChars="200"/>
        <w:jc w:val="left"/>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2.基本支出：</w:t>
      </w:r>
      <w:r>
        <w:rPr>
          <w:rStyle w:val="6"/>
          <w:rFonts w:ascii="仿宋_GB2312" w:eastAsia="仿宋_GB2312"/>
          <w:b w:val="0"/>
          <w:i w:val="0"/>
          <w:caps w:val="0"/>
          <w:spacing w:val="0"/>
          <w:w w:val="100"/>
          <w:kern w:val="2"/>
          <w:sz w:val="32"/>
          <w:szCs w:val="32"/>
          <w:lang w:val="en-US" w:eastAsia="zh-CN" w:bidi="ar-SA"/>
        </w:rPr>
        <w:t>指保障机构正常运转、完成日常工作任务而发生的人员支出和公用支出。</w:t>
      </w:r>
    </w:p>
    <w:p>
      <w:pPr>
        <w:snapToGrid/>
        <w:spacing w:before="0" w:beforeAutospacing="0" w:after="0" w:afterAutospacing="0" w:line="240" w:lineRule="auto"/>
        <w:ind w:firstLine="643" w:firstLineChars="200"/>
        <w:jc w:val="left"/>
        <w:textAlignment w:val="baseline"/>
        <w:rPr>
          <w:rStyle w:val="6"/>
          <w:rFonts w:ascii="仿宋_GB2312" w:eastAsia="仿宋_GB2312"/>
          <w:b/>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3.项目支出：</w:t>
      </w:r>
      <w:r>
        <w:rPr>
          <w:rStyle w:val="6"/>
          <w:rFonts w:ascii="仿宋_GB2312" w:eastAsia="仿宋_GB2312"/>
          <w:b w:val="0"/>
          <w:i w:val="0"/>
          <w:caps w:val="0"/>
          <w:spacing w:val="0"/>
          <w:w w:val="100"/>
          <w:kern w:val="2"/>
          <w:sz w:val="32"/>
          <w:szCs w:val="32"/>
          <w:lang w:val="en-US" w:eastAsia="zh-CN" w:bidi="ar-SA"/>
        </w:rPr>
        <w:t>指在基本支出之外为完成特定行政任务和事业发展目标所发生的支出。</w:t>
      </w:r>
    </w:p>
    <w:p>
      <w:pPr>
        <w:snapToGrid/>
        <w:spacing w:before="0" w:beforeAutospacing="0" w:after="0" w:afterAutospacing="0" w:line="240" w:lineRule="auto"/>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24"/>
          <w:lang w:val="en-US" w:eastAsia="zh-CN" w:bidi="ar-SA"/>
        </w:rPr>
        <w:t>4.机关运行经费：</w:t>
      </w:r>
      <w:r>
        <w:rPr>
          <w:rStyle w:val="6"/>
          <w:rFonts w:ascii="仿宋_GB2312" w:eastAsia="仿宋_GB2312"/>
          <w:b w:val="0"/>
          <w:i w:val="0"/>
          <w:caps w:val="0"/>
          <w:spacing w:val="0"/>
          <w:w w:val="100"/>
          <w:kern w:val="2"/>
          <w:sz w:val="32"/>
          <w:szCs w:val="32"/>
          <w:lang w:val="en-US" w:eastAsia="zh-CN" w:bidi="ar-S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napToGrid/>
        <w:spacing w:before="0" w:beforeAutospacing="0" w:after="0" w:afterAutospacing="0" w:line="240" w:lineRule="auto"/>
        <w:ind w:firstLine="643" w:firstLineChars="200"/>
        <w:jc w:val="left"/>
        <w:textAlignment w:val="baseline"/>
        <w:rPr>
          <w:rStyle w:val="6"/>
          <w:rFonts w:ascii="仿宋_GB2312" w:eastAsia="仿宋_GB2312"/>
          <w:b/>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5.行政事业性收费收入：</w:t>
      </w:r>
      <w:r>
        <w:rPr>
          <w:rStyle w:val="6"/>
          <w:rFonts w:ascii="仿宋_GB2312" w:eastAsia="仿宋_GB2312"/>
          <w:b w:val="0"/>
          <w:i w:val="0"/>
          <w:caps w:val="0"/>
          <w:spacing w:val="0"/>
          <w:w w:val="100"/>
          <w:kern w:val="2"/>
          <w:sz w:val="32"/>
          <w:szCs w:val="32"/>
          <w:lang w:val="en-US" w:eastAsia="zh-CN" w:bidi="ar-SA"/>
        </w:rPr>
        <w:t>指依据法律、行政法规、国务院有关规定、国务院财政部门会同价格主管部门共同发布的规章或者规定，省、自治区、直辖市人民政府财政部门会同价格主管部门共同发布的规定所收取的各项收费收入。</w:t>
      </w:r>
    </w:p>
    <w:p>
      <w:pPr>
        <w:snapToGrid/>
        <w:spacing w:before="0" w:beforeAutospacing="0" w:after="0" w:afterAutospacing="0" w:line="240" w:lineRule="auto"/>
        <w:ind w:firstLine="643" w:firstLineChars="200"/>
        <w:jc w:val="left"/>
        <w:textAlignment w:val="baseline"/>
        <w:rPr>
          <w:rStyle w:val="6"/>
          <w:rFonts w:ascii="仿宋_GB2312" w:eastAsia="仿宋_GB2312"/>
          <w:b/>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6.政府性基金收入：</w:t>
      </w:r>
      <w:r>
        <w:rPr>
          <w:rStyle w:val="6"/>
          <w:rFonts w:ascii="仿宋_GB2312" w:eastAsia="仿宋_GB2312"/>
          <w:b w:val="0"/>
          <w:i w:val="0"/>
          <w:caps w:val="0"/>
          <w:spacing w:val="0"/>
          <w:w w:val="100"/>
          <w:kern w:val="2"/>
          <w:sz w:val="32"/>
          <w:szCs w:val="32"/>
          <w:lang w:val="en-US" w:eastAsia="zh-CN" w:bidi="ar-SA"/>
        </w:rPr>
        <w:t>反应各级政府及其所属部门根据法律、行政法规规定并经国务院或财政部批准，向公民、法人和其他组织征收的政府性基金，以及参照政府性基金管理或纳入基金预算、具有特定用途的财政资金。</w:t>
      </w:r>
    </w:p>
    <w:p>
      <w:pPr>
        <w:snapToGrid/>
        <w:spacing w:before="0" w:beforeAutospacing="0" w:after="0" w:afterAutospacing="0" w:line="240" w:lineRule="auto"/>
        <w:ind w:firstLine="643" w:firstLineChars="200"/>
        <w:jc w:val="left"/>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7.其他收入：</w:t>
      </w:r>
      <w:r>
        <w:rPr>
          <w:rStyle w:val="6"/>
          <w:rFonts w:ascii="仿宋_GB2312" w:eastAsia="仿宋_GB2312"/>
          <w:b w:val="0"/>
          <w:i w:val="0"/>
          <w:caps w:val="0"/>
          <w:spacing w:val="0"/>
          <w:w w:val="100"/>
          <w:kern w:val="2"/>
          <w:sz w:val="32"/>
          <w:szCs w:val="32"/>
          <w:lang w:val="en-US" w:eastAsia="zh-CN" w:bidi="ar-SA"/>
        </w:rPr>
        <w:t>指除上述“财政拨款收入”、“行政事业性收费收入”、“政府性基金收入”以外的收入。</w:t>
      </w:r>
    </w:p>
    <w:p>
      <w:pPr>
        <w:snapToGrid/>
        <w:spacing w:before="0" w:beforeAutospacing="0" w:after="0" w:afterAutospacing="0" w:line="240" w:lineRule="auto"/>
        <w:ind w:firstLine="643" w:firstLineChars="200"/>
        <w:jc w:val="left"/>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8.“三公”经费</w:t>
      </w:r>
      <w:r>
        <w:rPr>
          <w:rStyle w:val="6"/>
          <w:rFonts w:ascii="仿宋_GB2312" w:eastAsia="仿宋_GB2312"/>
          <w:b w:val="0"/>
          <w:i w:val="0"/>
          <w:caps w:val="0"/>
          <w:spacing w:val="0"/>
          <w:w w:val="100"/>
          <w:kern w:val="2"/>
          <w:sz w:val="32"/>
          <w:szCs w:val="32"/>
          <w:lang w:val="en-US" w:eastAsia="zh-CN" w:bidi="ar-SA"/>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snapToGrid/>
        <w:spacing w:before="0" w:beforeAutospacing="0" w:after="0" w:afterAutospacing="0" w:line="240" w:lineRule="auto"/>
        <w:ind w:firstLine="643" w:firstLineChars="200"/>
        <w:jc w:val="left"/>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9.一般公共服务（类）财政事务（款）行政运行（项）：</w:t>
      </w:r>
      <w:r>
        <w:rPr>
          <w:rStyle w:val="6"/>
          <w:rFonts w:ascii="仿宋_GB2312" w:eastAsia="仿宋_GB2312"/>
          <w:b w:val="0"/>
          <w:i w:val="0"/>
          <w:caps w:val="0"/>
          <w:spacing w:val="0"/>
          <w:w w:val="100"/>
          <w:kern w:val="2"/>
          <w:sz w:val="32"/>
          <w:szCs w:val="32"/>
          <w:lang w:val="en-US" w:eastAsia="zh-CN" w:bidi="ar-SA"/>
        </w:rPr>
        <w:t>反映行政单位（包括实行公务员管理的事业单位）的基本支出。</w:t>
      </w:r>
    </w:p>
    <w:p>
      <w:pPr>
        <w:snapToGrid/>
        <w:spacing w:before="0" w:beforeAutospacing="0" w:after="0" w:afterAutospacing="0" w:line="240" w:lineRule="auto"/>
        <w:ind w:firstLine="643" w:firstLineChars="200"/>
        <w:jc w:val="left"/>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10.一般公共服务（类）财政事务（款）事业运行（项）：</w:t>
      </w:r>
      <w:r>
        <w:rPr>
          <w:rStyle w:val="6"/>
          <w:rFonts w:ascii="仿宋_GB2312" w:eastAsia="仿宋_GB2312"/>
          <w:b w:val="0"/>
          <w:i w:val="0"/>
          <w:caps w:val="0"/>
          <w:spacing w:val="0"/>
          <w:w w:val="100"/>
          <w:kern w:val="2"/>
          <w:sz w:val="32"/>
          <w:szCs w:val="32"/>
          <w:lang w:val="en-US" w:eastAsia="zh-CN" w:bidi="ar-SA"/>
        </w:rPr>
        <w:t>反映事业单位的基本支出，不包括行政单位（包括实行公务员管理的事业单位）后勤服务中心、医务室等附属事业单位。</w:t>
      </w:r>
    </w:p>
    <w:p>
      <w:pPr>
        <w:snapToGrid/>
        <w:spacing w:before="0" w:beforeAutospacing="0" w:after="0" w:afterAutospacing="0" w:line="240" w:lineRule="auto"/>
        <w:ind w:firstLine="643" w:firstLineChars="200"/>
        <w:jc w:val="left"/>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11.一般公共服务（类）财政事务（款）其他财政事务支出（项）：</w:t>
      </w:r>
      <w:r>
        <w:rPr>
          <w:rStyle w:val="6"/>
          <w:rFonts w:ascii="仿宋_GB2312" w:eastAsia="仿宋_GB2312"/>
          <w:b w:val="0"/>
          <w:i w:val="0"/>
          <w:caps w:val="0"/>
          <w:spacing w:val="0"/>
          <w:w w:val="100"/>
          <w:kern w:val="2"/>
          <w:sz w:val="32"/>
          <w:szCs w:val="32"/>
          <w:lang w:val="en-US" w:eastAsia="zh-CN" w:bidi="ar-SA"/>
        </w:rPr>
        <w:t>反映除上述项目以外其他财政事务方面的支出。</w:t>
      </w:r>
    </w:p>
    <w:p>
      <w:pPr>
        <w:snapToGrid/>
        <w:spacing w:before="0" w:beforeAutospacing="0" w:after="0" w:afterAutospacing="0" w:line="240" w:lineRule="auto"/>
        <w:ind w:firstLine="643" w:firstLineChars="200"/>
        <w:jc w:val="left"/>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12.社会保障和就业（类）行政事业单位离退休（款）归口管理的行政单位离退休（项）：</w:t>
      </w:r>
      <w:r>
        <w:rPr>
          <w:rStyle w:val="6"/>
          <w:rFonts w:ascii="仿宋_GB2312" w:eastAsia="仿宋_GB2312"/>
          <w:b w:val="0"/>
          <w:i w:val="0"/>
          <w:caps w:val="0"/>
          <w:spacing w:val="0"/>
          <w:w w:val="100"/>
          <w:kern w:val="2"/>
          <w:sz w:val="32"/>
          <w:szCs w:val="32"/>
          <w:lang w:val="en-US" w:eastAsia="zh-CN" w:bidi="ar-SA"/>
        </w:rPr>
        <w:t>反映实行归口管理的行政单位（包括实行公务员管理的事业单位）开支的离退休经费。</w:t>
      </w:r>
    </w:p>
    <w:p>
      <w:pPr>
        <w:snapToGrid/>
        <w:spacing w:before="0" w:beforeAutospacing="0" w:after="0" w:afterAutospacing="0" w:line="240" w:lineRule="auto"/>
        <w:ind w:firstLine="643" w:firstLineChars="200"/>
        <w:jc w:val="left"/>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13.社会保障和就业（类）行政事业单位离退休（款）事业单位离退休（项）：</w:t>
      </w:r>
      <w:r>
        <w:rPr>
          <w:rStyle w:val="6"/>
          <w:rFonts w:ascii="仿宋_GB2312" w:eastAsia="仿宋_GB2312"/>
          <w:b w:val="0"/>
          <w:i w:val="0"/>
          <w:caps w:val="0"/>
          <w:spacing w:val="0"/>
          <w:w w:val="100"/>
          <w:kern w:val="2"/>
          <w:sz w:val="32"/>
          <w:szCs w:val="32"/>
          <w:lang w:val="en-US" w:eastAsia="zh-CN" w:bidi="ar-SA"/>
        </w:rPr>
        <w:t>反映实行归口管理的事业单位开支的离退休经费。</w:t>
      </w:r>
    </w:p>
    <w:p>
      <w:pPr>
        <w:snapToGrid/>
        <w:spacing w:before="0" w:beforeAutospacing="0" w:after="0" w:afterAutospacing="0" w:line="240" w:lineRule="auto"/>
        <w:ind w:firstLine="643" w:firstLineChars="200"/>
        <w:jc w:val="left"/>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14.住房保障（类）住房改革（款）住房公积金（项）：</w:t>
      </w:r>
      <w:r>
        <w:rPr>
          <w:rStyle w:val="6"/>
          <w:rFonts w:ascii="仿宋_GB2312" w:eastAsia="仿宋_GB2312"/>
          <w:b w:val="0"/>
          <w:i w:val="0"/>
          <w:caps w:val="0"/>
          <w:spacing w:val="0"/>
          <w:w w:val="100"/>
          <w:kern w:val="2"/>
          <w:sz w:val="32"/>
          <w:szCs w:val="32"/>
          <w:lang w:val="en-US" w:eastAsia="zh-CN" w:bidi="ar-SA"/>
        </w:rPr>
        <w:t xml:space="preserve">反映行政事业单位按人力资源和社会保障部、财政部规定的基本工资和津贴补贴以及规定比例为职工缴纳的住房公积金。 </w:t>
      </w:r>
    </w:p>
    <w:p>
      <w:pPr>
        <w:snapToGrid/>
        <w:spacing w:before="0" w:beforeAutospacing="0" w:after="0" w:afterAutospacing="0" w:line="240" w:lineRule="auto"/>
        <w:jc w:val="center"/>
        <w:textAlignment w:val="baseline"/>
        <w:rPr>
          <w:rStyle w:val="6"/>
          <w:rFonts w:ascii="宋体" w:hAnsi="宋体"/>
          <w:b/>
          <w:i w:val="0"/>
          <w:caps w:val="0"/>
          <w:spacing w:val="0"/>
          <w:w w:val="100"/>
          <w:kern w:val="2"/>
          <w:sz w:val="36"/>
          <w:szCs w:val="36"/>
          <w:lang w:val="en-US" w:eastAsia="zh-CN" w:bidi="ar-SA"/>
        </w:rPr>
      </w:pPr>
    </w:p>
    <w:p>
      <w:pPr>
        <w:numPr>
          <w:ilvl w:val="0"/>
          <w:numId w:val="1"/>
        </w:numPr>
        <w:snapToGrid/>
        <w:spacing w:before="0" w:beforeAutospacing="0" w:after="0" w:afterAutospacing="0" w:line="240" w:lineRule="auto"/>
        <w:jc w:val="center"/>
        <w:textAlignment w:val="baseline"/>
        <w:rPr>
          <w:rStyle w:val="6"/>
          <w:rFonts w:ascii="宋体" w:hAnsi="宋体"/>
          <w:b/>
          <w:i w:val="0"/>
          <w:caps w:val="0"/>
          <w:spacing w:val="0"/>
          <w:w w:val="100"/>
          <w:kern w:val="2"/>
          <w:sz w:val="36"/>
          <w:szCs w:val="36"/>
          <w:lang w:val="en-US" w:eastAsia="zh-CN" w:bidi="ar-SA"/>
        </w:rPr>
      </w:pPr>
      <w:r>
        <w:rPr>
          <w:rStyle w:val="6"/>
          <w:rFonts w:ascii="宋体" w:hAnsi="宋体"/>
          <w:b/>
          <w:i w:val="0"/>
          <w:caps w:val="0"/>
          <w:spacing w:val="0"/>
          <w:w w:val="100"/>
          <w:kern w:val="2"/>
          <w:sz w:val="36"/>
          <w:szCs w:val="36"/>
          <w:lang w:val="en-US" w:eastAsia="zh-CN" w:bidi="ar-SA"/>
        </w:rPr>
        <w:t>明山区</w:t>
      </w:r>
      <w:r>
        <w:rPr>
          <w:rStyle w:val="6"/>
          <w:rFonts w:ascii="黑体" w:hAnsi="黑体" w:eastAsia="黑体"/>
          <w:b w:val="0"/>
          <w:i w:val="0"/>
          <w:caps w:val="0"/>
          <w:spacing w:val="0"/>
          <w:w w:val="100"/>
          <w:kern w:val="2"/>
          <w:sz w:val="32"/>
          <w:szCs w:val="32"/>
          <w:lang w:val="en-US" w:eastAsia="zh-CN" w:bidi="ar-SA"/>
        </w:rPr>
        <w:t>教育事业发展服务中心</w:t>
      </w:r>
      <w:r>
        <w:rPr>
          <w:rStyle w:val="6"/>
          <w:rFonts w:ascii="宋体" w:hAnsi="宋体"/>
          <w:b/>
          <w:i w:val="0"/>
          <w:caps w:val="0"/>
          <w:spacing w:val="0"/>
          <w:w w:val="100"/>
          <w:kern w:val="2"/>
          <w:sz w:val="36"/>
          <w:szCs w:val="36"/>
          <w:lang w:val="en-US" w:eastAsia="zh-CN" w:bidi="ar-SA"/>
        </w:rPr>
        <w:t>部门预算批复表</w:t>
      </w:r>
    </w:p>
    <w:p>
      <w:pPr>
        <w:snapToGrid/>
        <w:spacing w:before="0" w:beforeAutospacing="0" w:after="0" w:afterAutospacing="0" w:line="240" w:lineRule="auto"/>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宋体" w:hAnsi="宋体"/>
          <w:b/>
          <w:i w:val="0"/>
          <w:caps w:val="0"/>
          <w:spacing w:val="0"/>
          <w:w w:val="100"/>
          <w:kern w:val="2"/>
          <w:sz w:val="36"/>
          <w:szCs w:val="36"/>
          <w:lang w:val="en-US" w:eastAsia="zh-CN" w:bidi="ar-SA"/>
        </w:rPr>
        <w:t xml:space="preserve">    </w:t>
      </w:r>
      <w:r>
        <w:rPr>
          <w:rStyle w:val="6"/>
          <w:rFonts w:ascii="仿宋_GB2312" w:eastAsia="仿宋_GB2312"/>
          <w:b w:val="0"/>
          <w:i w:val="0"/>
          <w:caps w:val="0"/>
          <w:spacing w:val="0"/>
          <w:w w:val="100"/>
          <w:kern w:val="2"/>
          <w:sz w:val="32"/>
          <w:szCs w:val="32"/>
          <w:lang w:val="en-US" w:eastAsia="zh-CN" w:bidi="ar-SA"/>
        </w:rPr>
        <w:t>（详见附表1—11）</w:t>
      </w:r>
    </w:p>
    <w:p>
      <w:pPr>
        <w:snapToGrid/>
        <w:spacing w:before="0" w:beforeAutospacing="0" w:after="0" w:afterAutospacing="0" w:line="240" w:lineRule="auto"/>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6"/>
          <w:rFonts w:ascii="仿宋_GB2312" w:eastAsia="仿宋_GB2312"/>
          <w:b/>
          <w:i w:val="0"/>
          <w:caps w:val="0"/>
          <w:spacing w:val="0"/>
          <w:w w:val="100"/>
          <w:kern w:val="2"/>
          <w:sz w:val="32"/>
          <w:szCs w:val="32"/>
          <w:lang w:val="en-US" w:eastAsia="zh-CN" w:bidi="ar-SA"/>
        </w:rPr>
      </w:pPr>
    </w:p>
    <w:p>
      <w:pPr>
        <w:snapToGrid/>
        <w:spacing w:before="0" w:beforeAutospacing="0" w:after="0" w:afterAutospacing="0" w:line="240" w:lineRule="auto"/>
        <w:jc w:val="center"/>
        <w:textAlignment w:val="baseline"/>
        <w:rPr>
          <w:rStyle w:val="6"/>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240" w:lineRule="auto"/>
        <w:jc w:val="center"/>
        <w:textAlignment w:val="baseline"/>
        <w:rPr>
          <w:rStyle w:val="6"/>
          <w:rFonts w:ascii="仿宋_GB2312" w:eastAsia="仿宋_GB2312"/>
          <w:b/>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6"/>
          <w:rFonts w:ascii="黑体" w:eastAsia="黑体"/>
          <w:b w:val="0"/>
          <w:i w:val="0"/>
          <w:caps w:val="0"/>
          <w:spacing w:val="0"/>
          <w:w w:val="100"/>
          <w:kern w:val="2"/>
          <w:sz w:val="36"/>
          <w:szCs w:val="36"/>
          <w:lang w:val="en-US" w:eastAsia="zh-CN" w:bidi="ar-SA"/>
        </w:rPr>
      </w:pPr>
    </w:p>
    <w:sectPr>
      <w:footerReference r:id="rId3" w:type="default"/>
      <w:footerReference r:id="rId4" w:type="even"/>
      <w:pgSz w:w="11906" w:h="16838"/>
      <w:pgMar w:top="1440" w:right="1474" w:bottom="1440" w:left="1474"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snapToGrid w:val="0"/>
      <w:jc w:val="left"/>
      <w:textAlignment w:val="baseline"/>
      <w:rPr>
        <w:rStyle w:val="11"/>
        <w:kern w:val="2"/>
        <w:sz w:val="18"/>
        <w:szCs w:val="18"/>
        <w:lang w:val="en-US" w:eastAsia="zh-CN" w:bidi="ar-SA"/>
      </w:rPr>
    </w:pPr>
  </w:p>
  <w:p>
    <w:pPr>
      <w:pStyle w:val="2"/>
      <w:widowControl/>
      <w:snapToGrid w:val="0"/>
      <w:jc w:val="left"/>
      <w:textAlignment w:val="baseline"/>
      <w:rPr>
        <w:rStyle w:val="6"/>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snapToGrid w:val="0"/>
      <w:jc w:val="left"/>
      <w:textAlignment w:val="baseline"/>
      <w:rPr>
        <w:rStyle w:val="11"/>
        <w:kern w:val="2"/>
        <w:sz w:val="18"/>
        <w:szCs w:val="18"/>
        <w:lang w:val="en-US" w:eastAsia="zh-CN" w:bidi="ar-SA"/>
      </w:rPr>
    </w:pPr>
  </w:p>
  <w:p>
    <w:pPr>
      <w:pStyle w:val="2"/>
      <w:widowControl/>
      <w:snapToGrid w:val="0"/>
      <w:jc w:val="left"/>
      <w:textAlignment w:val="baseline"/>
      <w:rPr>
        <w:rStyle w:val="6"/>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4456F"/>
    <w:multiLevelType w:val="singleLevel"/>
    <w:tmpl w:val="43A4456F"/>
    <w:lvl w:ilvl="0" w:tentative="0">
      <w:start w:val="4"/>
      <w:numFmt w:val="chineseCounting"/>
      <w:suff w:val="space"/>
      <w:lvlText w:val="第%1部分"/>
      <w:lvlJc w:val="left"/>
      <w:pPr>
        <w:widowControl/>
        <w:textAlignment w:val="baseline"/>
      </w:pPr>
      <w:rPr>
        <w:rStyle w:val="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72F578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uiPriority w:val="0"/>
    <w:pPr>
      <w:jc w:val="both"/>
      <w:textAlignment w:val="baseline"/>
    </w:pPr>
    <w:rPr>
      <w:rFonts w:ascii="Times New Roman" w:hAnsi="Times New Roman"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9"/>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semiHidden/>
    <w:uiPriority w:val="0"/>
  </w:style>
  <w:style w:type="table" w:customStyle="1" w:styleId="7">
    <w:name w:val="TableNormal"/>
    <w:semiHidden/>
    <w:uiPriority w:val="0"/>
  </w:style>
  <w:style w:type="paragraph" w:customStyle="1" w:styleId="8">
    <w:name w:val="Acetate"/>
    <w:basedOn w:val="1"/>
    <w:semiHidden/>
    <w:qFormat/>
    <w:uiPriority w:val="0"/>
    <w:pPr>
      <w:jc w:val="both"/>
      <w:textAlignment w:val="baseline"/>
    </w:pPr>
    <w:rPr>
      <w:kern w:val="2"/>
      <w:sz w:val="18"/>
      <w:szCs w:val="18"/>
      <w:lang w:val="en-US" w:eastAsia="zh-CN" w:bidi="ar-SA"/>
    </w:rPr>
  </w:style>
  <w:style w:type="character" w:customStyle="1" w:styleId="9">
    <w:name w:val="UserStyle_0"/>
    <w:basedOn w:val="6"/>
    <w:link w:val="3"/>
    <w:uiPriority w:val="0"/>
    <w:rPr>
      <w:kern w:val="2"/>
      <w:sz w:val="18"/>
      <w:szCs w:val="18"/>
    </w:rPr>
  </w:style>
  <w:style w:type="paragraph" w:customStyle="1" w:styleId="10">
    <w:name w:val="HtmlNormal"/>
    <w:basedOn w:val="1"/>
    <w:uiPriority w:val="0"/>
    <w:pPr>
      <w:pBdr>
        <w:top w:val="none" w:color="auto" w:sz="0" w:space="0"/>
        <w:left w:val="none" w:color="auto" w:sz="0" w:space="0"/>
        <w:bottom w:val="none" w:color="auto" w:sz="0" w:space="0"/>
        <w:right w:val="none" w:color="auto" w:sz="0" w:space="0"/>
      </w:pBdr>
      <w:spacing w:before="0" w:after="0"/>
      <w:ind w:left="0" w:right="0"/>
      <w:jc w:val="left"/>
      <w:textAlignment w:val="baseline"/>
    </w:pPr>
    <w:rPr>
      <w:kern w:val="0"/>
      <w:sz w:val="24"/>
      <w:szCs w:val="24"/>
      <w:lang w:val="en-US" w:eastAsia="zh-CN"/>
    </w:rPr>
  </w:style>
  <w:style w:type="character" w:customStyle="1" w:styleId="11">
    <w:name w:val="PageNumber"/>
    <w:basedOn w:val="6"/>
    <w:link w:val="1"/>
    <w:uiPriority w:val="0"/>
  </w:style>
  <w:style w:type="paragraph" w:customStyle="1" w:styleId="12">
    <w:name w:val="UserStyle_1"/>
    <w:basedOn w:val="1"/>
    <w:uiPriority w:val="0"/>
    <w:pPr>
      <w:widowControl/>
      <w:jc w:val="left"/>
      <w:textAlignment w:val="baseline"/>
    </w:pPr>
    <w:rPr>
      <w:rFonts w:ascii="Verdana" w:hAnsi="Verdana" w:eastAsia="仿宋_GB2312"/>
      <w:kern w:val="0"/>
      <w:sz w:val="28"/>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2266</Words>
  <Characters>2336</Characters>
  <TotalTime>0</TotalTime>
  <ScaleCrop>false</ScaleCrop>
  <LinksUpToDate>false</LinksUpToDate>
  <CharactersWithSpaces>2430</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2022-04-14T04:36:04Z</dcterms:created>
  <dc:creator>Administrator</dc:creator>
  <cp:lastModifiedBy>Administrator</cp:lastModifiedBy>
  <dcterms:modified xsi:type="dcterms:W3CDTF">2022-04-14T04:36:49Z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16741E516862487496C7CFDC6EF3C37F</vt:lpwstr>
  </property>
</Properties>
</file>