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本溪市人社局2020年度部门决算</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本溪市人社局2020年概况</w:t>
      </w:r>
    </w:p>
    <w:p>
      <w:pPr>
        <w:widowControl w:val="0"/>
        <w:numPr>
          <w:ilvl w:val="0"/>
          <w:numId w:val="1"/>
        </w:numPr>
        <w:adjustRightInd/>
        <w:snapToGrid/>
        <w:spacing w:after="0" w:line="540" w:lineRule="exact"/>
        <w:jc w:val="both"/>
        <w:rPr>
          <w:rFonts w:hint="eastAsia" w:ascii="仿宋_GB2312" w:hAnsi="黑体" w:eastAsia="仿宋_GB2312"/>
          <w:sz w:val="32"/>
          <w:szCs w:val="32"/>
        </w:rPr>
      </w:pPr>
      <w:r>
        <w:rPr>
          <w:rFonts w:hint="eastAsia" w:ascii="仿宋_GB2312" w:hAnsi="黑体" w:eastAsia="仿宋_GB2312"/>
          <w:sz w:val="32"/>
          <w:szCs w:val="32"/>
        </w:rPr>
        <w:t>主要职责</w:t>
      </w:r>
    </w:p>
    <w:p>
      <w:pPr>
        <w:widowControl w:val="0"/>
        <w:numPr>
          <w:ilvl w:val="0"/>
          <w:numId w:val="1"/>
        </w:numPr>
        <w:adjustRightInd/>
        <w:snapToGrid/>
        <w:spacing w:after="0" w:line="540" w:lineRule="exact"/>
        <w:jc w:val="both"/>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本溪市人社局2020年度部门决算报表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20</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2020年度财政专户管理资金收入支出决算表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w:t>
      </w:r>
      <w:r>
        <w:rPr>
          <w:rFonts w:hint="eastAsia" w:ascii="仿宋_GB2312" w:eastAsia="仿宋_GB2312"/>
          <w:sz w:val="32"/>
          <w:szCs w:val="32"/>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本溪市人社局2020年度部门决算情况说明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第一部分 本溪市人社局概况</w:t>
      </w:r>
    </w:p>
    <w:p>
      <w:pPr>
        <w:spacing w:line="540" w:lineRule="exact"/>
        <w:ind w:firstLine="640" w:firstLineChars="200"/>
        <w:rPr>
          <w:rFonts w:hint="eastAsia" w:ascii="黑体" w:eastAsia="黑体"/>
          <w:sz w:val="32"/>
          <w:szCs w:val="32"/>
        </w:rPr>
      </w:pPr>
    </w:p>
    <w:p>
      <w:pPr>
        <w:spacing w:line="540" w:lineRule="exact"/>
        <w:ind w:firstLine="640" w:firstLineChars="200"/>
        <w:rPr>
          <w:rFonts w:hint="eastAsia" w:ascii="黑体" w:eastAsia="黑体"/>
          <w:sz w:val="32"/>
          <w:szCs w:val="32"/>
        </w:rPr>
      </w:pPr>
      <w:r>
        <w:rPr>
          <w:rFonts w:hint="eastAsia" w:ascii="黑体" w:eastAsia="黑体"/>
          <w:sz w:val="32"/>
          <w:szCs w:val="32"/>
        </w:rPr>
        <w:t>一、主要职责</w:t>
      </w:r>
    </w:p>
    <w:p>
      <w:pPr>
        <w:autoSpaceDE w:val="0"/>
        <w:autoSpaceDN w:val="0"/>
        <w:spacing w:line="540" w:lineRule="exact"/>
        <w:rPr>
          <w:rFonts w:ascii="黑体" w:hAnsi="黑体" w:eastAsia="黑体" w:cs="黑体"/>
          <w:sz w:val="32"/>
          <w:szCs w:val="32"/>
        </w:rPr>
      </w:pPr>
    </w:p>
    <w:p>
      <w:pPr>
        <w:autoSpaceDE w:val="0"/>
        <w:autoSpaceDN w:val="0"/>
        <w:spacing w:line="540" w:lineRule="exact"/>
        <w:ind w:firstLine="640"/>
        <w:rPr>
          <w:rFonts w:eastAsia="Times New Roman"/>
          <w:sz w:val="32"/>
          <w:szCs w:val="32"/>
        </w:rPr>
      </w:pPr>
      <w:r>
        <w:rPr>
          <w:rFonts w:hint="eastAsia" w:ascii="宋体" w:hAnsi="宋体" w:cs="宋体"/>
          <w:sz w:val="32"/>
          <w:szCs w:val="32"/>
        </w:rPr>
        <w:t>（一）贯彻落实国家、省、市关于人力资源和社会保障方面的法律、法规、规章和政策，监督检查全区人力资源和社会保障相关政策法规的执行情况；对全区人力资源和社会保障事业进行宏观指导和协调服务。</w:t>
      </w:r>
    </w:p>
    <w:p>
      <w:pPr>
        <w:autoSpaceDE w:val="0"/>
        <w:autoSpaceDN w:val="0"/>
        <w:spacing w:line="540" w:lineRule="exact"/>
        <w:ind w:firstLine="640"/>
        <w:rPr>
          <w:rFonts w:eastAsia="Times New Roman"/>
          <w:sz w:val="32"/>
          <w:szCs w:val="32"/>
        </w:rPr>
      </w:pPr>
      <w:r>
        <w:rPr>
          <w:rFonts w:hint="eastAsia" w:ascii="宋体" w:hAnsi="宋体" w:cs="宋体"/>
          <w:sz w:val="32"/>
          <w:szCs w:val="32"/>
        </w:rPr>
        <w:t>（二）负责全区机关、事业单位工作人员的调配及国家特殊需要人员选调、安置工作；完善公共就业服务体系，会同有关部门做好大中专毕业生就业指导和农村实用人才培养工作；负责接收军队转业干部安置工作；落实和指导再就业和下岗职工生活保障工作。开展社区和社会再就业工作，对区域内下岗职工、失业人员进行就业咨询和分类指导。</w:t>
      </w:r>
      <w:r>
        <w:rPr>
          <w:rFonts w:eastAsia="Times New Roman"/>
          <w:sz w:val="32"/>
          <w:szCs w:val="32"/>
        </w:rPr>
        <w:t xml:space="preserve">                    </w:t>
      </w:r>
    </w:p>
    <w:p>
      <w:pPr>
        <w:autoSpaceDE w:val="0"/>
        <w:autoSpaceDN w:val="0"/>
        <w:spacing w:line="540" w:lineRule="exact"/>
        <w:ind w:firstLine="640"/>
        <w:rPr>
          <w:rFonts w:hint="eastAsia"/>
          <w:sz w:val="32"/>
          <w:szCs w:val="32"/>
        </w:rPr>
      </w:pPr>
      <w:r>
        <w:rPr>
          <w:rFonts w:hint="eastAsia" w:ascii="宋体" w:hAnsi="宋体" w:cs="宋体"/>
          <w:sz w:val="32"/>
          <w:szCs w:val="32"/>
        </w:rPr>
        <w:t>（三）负责机关、事业单位人员工资、福利的综合管理和分配制度改革工作；实施全区机关、事业单位工作人员工资、福利、津贴、补贴和离退休等政策；组织落实全区机关、企事业单位工作人员工资计划统计工作；建立机关、企事业单位工作人员工资正常增长和支付保障机制；负责指导企业职工和经营者收入分配工作。</w:t>
      </w:r>
      <w:r>
        <w:rPr>
          <w:rFonts w:eastAsia="Times New Roman"/>
          <w:sz w:val="32"/>
          <w:szCs w:val="32"/>
        </w:rPr>
        <w:br w:type="textWrapping"/>
      </w:r>
      <w:r>
        <w:rPr>
          <w:rFonts w:eastAsia="Times New Roman"/>
          <w:sz w:val="32"/>
          <w:szCs w:val="32"/>
        </w:rPr>
        <w:t xml:space="preserve">    </w:t>
      </w:r>
      <w:r>
        <w:rPr>
          <w:rFonts w:hint="eastAsia" w:ascii="宋体" w:hAnsi="宋体" w:cs="宋体"/>
          <w:sz w:val="32"/>
          <w:szCs w:val="32"/>
        </w:rPr>
        <w:t>（四）会同有关部门指导全区事业单位人事制度改革，负责全区事业单位聘用合同鉴证和工勤人员岗位等级管理工作；参与人才管理工作，拟订专业技术人员管理和继续教育政策，推行专业技术职业资格制度；牵头推进深化职称制度改革工作，负责高层次专业技术人才选拔、培养和管理、服务工作。</w:t>
      </w:r>
      <w:r>
        <w:rPr>
          <w:rFonts w:eastAsia="Times New Roman"/>
          <w:sz w:val="32"/>
          <w:szCs w:val="32"/>
        </w:rPr>
        <w:br w:type="textWrapping"/>
      </w:r>
      <w:r>
        <w:rPr>
          <w:rFonts w:eastAsia="Times New Roman"/>
          <w:sz w:val="32"/>
          <w:szCs w:val="32"/>
        </w:rPr>
        <w:t xml:space="preserve">    </w:t>
      </w:r>
      <w:r>
        <w:rPr>
          <w:rFonts w:hint="eastAsia" w:ascii="宋体" w:hAnsi="宋体" w:cs="宋体"/>
          <w:sz w:val="32"/>
          <w:szCs w:val="32"/>
        </w:rPr>
        <w:t>（五）负责行政机关公务员综合管理，组织实施公务员分类、录用、考核、奖惩、任用、培训、辞退等方面工作；拟订《参照公务员法管理单位工作人员管理办法和聘任制公务员管理办法实施方案》，并组织实施和监督管理；负责公务员登记管理工作；承办区政府管理的部分领导人员的行政任免事宜；会同有关部门拟订并组织实施政府奖励制度。</w:t>
      </w:r>
      <w:r>
        <w:rPr>
          <w:rFonts w:eastAsia="Times New Roman"/>
          <w:sz w:val="32"/>
          <w:szCs w:val="32"/>
        </w:rPr>
        <w:br w:type="textWrapping"/>
      </w:r>
      <w:r>
        <w:rPr>
          <w:rFonts w:hint="eastAsia" w:ascii="宋体" w:hAnsi="宋体" w:cs="宋体"/>
          <w:sz w:val="32"/>
          <w:szCs w:val="32"/>
        </w:rPr>
        <w:t>（六）落实农民工工作综合性政策和规划，推动农民工相关政策的落实，协调解决重点、难点问题，维护农民工合法权益。</w:t>
      </w:r>
      <w:r>
        <w:rPr>
          <w:rFonts w:eastAsia="Times New Roman"/>
          <w:sz w:val="32"/>
          <w:szCs w:val="32"/>
        </w:rPr>
        <w:br w:type="textWrapping"/>
      </w:r>
      <w:r>
        <w:rPr>
          <w:rFonts w:eastAsia="Times New Roman"/>
          <w:sz w:val="32"/>
          <w:szCs w:val="32"/>
        </w:rPr>
        <w:t xml:space="preserve">    </w:t>
      </w:r>
      <w:r>
        <w:rPr>
          <w:rFonts w:hint="eastAsia" w:ascii="宋体" w:hAnsi="宋体" w:cs="宋体"/>
          <w:sz w:val="32"/>
          <w:szCs w:val="32"/>
        </w:rPr>
        <w:t>（七）负责劳动监察工作，对各类用人单位劳动管理情况进行监督、监察，监察处理用人单位违反劳动法律、法规问题；负责劳动合同、集体合同管理，监督指导国有企业、城镇私营企业和有雇工的个体工商业户签订集体合同和劳动合同；统筹实施劳动、人事争议调解仲裁制度，完善劳动关系协调机制，监督落实消除非法使用童工政策和女工、未成年工的特殊劳动保护政策。</w:t>
      </w:r>
      <w:r>
        <w:rPr>
          <w:rFonts w:eastAsia="Times New Roman"/>
          <w:sz w:val="32"/>
          <w:szCs w:val="32"/>
        </w:rPr>
        <w:br w:type="textWrapping"/>
      </w:r>
      <w:r>
        <w:rPr>
          <w:rFonts w:eastAsia="Times New Roman"/>
          <w:sz w:val="32"/>
          <w:szCs w:val="32"/>
        </w:rPr>
        <w:t xml:space="preserve">    </w:t>
      </w:r>
      <w:r>
        <w:rPr>
          <w:rFonts w:hint="eastAsia" w:ascii="宋体" w:hAnsi="宋体" w:cs="宋体"/>
          <w:sz w:val="32"/>
          <w:szCs w:val="32"/>
        </w:rPr>
        <w:t>（八）承办区政府交办的其他事项。</w:t>
      </w:r>
    </w:p>
    <w:p>
      <w:pPr>
        <w:spacing w:line="540" w:lineRule="exact"/>
        <w:ind w:firstLine="640" w:firstLineChars="200"/>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纳入本溪市人社局2020年部门决算编制范围的二级预算单位包括：</w:t>
      </w:r>
    </w:p>
    <w:p>
      <w:pPr>
        <w:widowControl w:val="0"/>
        <w:numPr>
          <w:ilvl w:val="3"/>
          <w:numId w:val="1"/>
        </w:numPr>
        <w:adjustRightInd/>
        <w:snapToGrid/>
        <w:spacing w:after="0"/>
        <w:rPr>
          <w:rFonts w:hint="eastAsia" w:ascii="宋体" w:hAnsi="宋体" w:cs="宋体"/>
          <w:sz w:val="28"/>
          <w:szCs w:val="28"/>
        </w:rPr>
      </w:pPr>
      <w:r>
        <w:rPr>
          <w:rFonts w:hint="eastAsia" w:ascii="宋体" w:hAnsi="宋体" w:cs="宋体"/>
          <w:sz w:val="28"/>
          <w:szCs w:val="28"/>
        </w:rPr>
        <w:t>本溪市明山区人力资源和社会保障局</w:t>
      </w:r>
    </w:p>
    <w:p>
      <w:pPr>
        <w:widowControl w:val="0"/>
        <w:numPr>
          <w:ilvl w:val="3"/>
          <w:numId w:val="1"/>
        </w:numPr>
        <w:adjustRightInd/>
        <w:snapToGrid/>
        <w:spacing w:after="0"/>
        <w:rPr>
          <w:rFonts w:hint="eastAsia" w:ascii="宋体" w:hAnsi="宋体" w:cs="宋体"/>
          <w:sz w:val="28"/>
          <w:szCs w:val="28"/>
        </w:rPr>
      </w:pPr>
      <w:r>
        <w:rPr>
          <w:rFonts w:hint="eastAsia" w:ascii="宋体" w:hAnsi="宋体" w:cs="宋体"/>
          <w:sz w:val="28"/>
          <w:szCs w:val="28"/>
        </w:rPr>
        <w:t>明山区人才市场管理办公室</w:t>
      </w:r>
    </w:p>
    <w:p>
      <w:pPr>
        <w:ind w:left="1260"/>
        <w:rPr>
          <w:rFonts w:hint="eastAsia" w:ascii="宋体" w:hAnsi="宋体" w:cs="宋体"/>
          <w:sz w:val="28"/>
          <w:szCs w:val="28"/>
        </w:rPr>
      </w:pPr>
      <w:r>
        <w:rPr>
          <w:rFonts w:hint="eastAsia" w:ascii="宋体" w:hAnsi="宋体" w:cs="宋体"/>
          <w:sz w:val="28"/>
          <w:szCs w:val="28"/>
        </w:rPr>
        <w:t>3.本溪市劳动监察支队明山区大队</w:t>
      </w:r>
    </w:p>
    <w:p>
      <w:pPr>
        <w:ind w:left="126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本溪市明山区劳动争议仲裁院</w:t>
      </w:r>
    </w:p>
    <w:p>
      <w:pPr>
        <w:ind w:left="1260"/>
        <w:rPr>
          <w:rFonts w:ascii="宋体" w:hAnsi="宋体" w:cs="宋体"/>
          <w:sz w:val="28"/>
          <w:szCs w:val="28"/>
        </w:rPr>
      </w:pPr>
      <w:r>
        <w:rPr>
          <w:rFonts w:ascii="宋体" w:hAnsi="宋体" w:cs="宋体"/>
          <w:sz w:val="28"/>
          <w:szCs w:val="28"/>
        </w:rPr>
        <w:t>5.</w:t>
      </w:r>
      <w:r>
        <w:rPr>
          <w:rFonts w:hint="eastAsia" w:ascii="宋体" w:hAnsi="宋体" w:cs="宋体"/>
          <w:sz w:val="28"/>
          <w:szCs w:val="28"/>
        </w:rPr>
        <w:t>本溪市明山区机关事业单位养老保险管理中心</w:t>
      </w:r>
    </w:p>
    <w:p>
      <w:pPr>
        <w:ind w:firstLine="1260" w:firstLineChars="450"/>
        <w:rPr>
          <w:rFonts w:hint="eastAsia" w:ascii="宋体" w:cs="宋体"/>
          <w:sz w:val="28"/>
          <w:szCs w:val="28"/>
        </w:rPr>
      </w:pPr>
      <w:r>
        <w:rPr>
          <w:rFonts w:ascii="宋体" w:hAnsi="宋体" w:cs="宋体"/>
          <w:sz w:val="28"/>
          <w:szCs w:val="28"/>
        </w:rPr>
        <w:t>6.</w:t>
      </w:r>
      <w:r>
        <w:rPr>
          <w:rFonts w:hint="eastAsia" w:ascii="宋体" w:hAnsi="宋体" w:cs="宋体"/>
          <w:sz w:val="28"/>
          <w:szCs w:val="28"/>
        </w:rPr>
        <w:t>本溪市明山区就业服务局</w:t>
      </w: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第二部分 本溪市人社局2020年度部门决算公开报表</w:t>
      </w:r>
    </w:p>
    <w:p>
      <w:pPr>
        <w:spacing w:line="540" w:lineRule="exact"/>
        <w:rPr>
          <w:rFonts w:hint="eastAsia" w:ascii="宋体" w:hAnsi="宋体"/>
          <w:b/>
          <w:sz w:val="36"/>
          <w:szCs w:val="36"/>
        </w:rPr>
      </w:pPr>
      <w:r>
        <w:rPr>
          <w:rFonts w:hint="eastAsia" w:ascii="宋体" w:hAnsi="宋体"/>
          <w:b/>
          <w:sz w:val="36"/>
          <w:szCs w:val="36"/>
        </w:rPr>
        <w:t>（见附件）</w:t>
      </w:r>
    </w:p>
    <w:p>
      <w:pPr>
        <w:spacing w:line="540" w:lineRule="exact"/>
        <w:ind w:firstLine="640" w:firstLineChars="200"/>
        <w:rPr>
          <w:rFonts w:hint="eastAsia" w:ascii="仿宋" w:hAnsi="仿宋" w:eastAsia="仿宋" w:cs="仿宋"/>
          <w:bCs/>
          <w:sz w:val="32"/>
          <w:szCs w:val="32"/>
        </w:rPr>
      </w:pPr>
    </w:p>
    <w:p>
      <w:pPr>
        <w:spacing w:line="540" w:lineRule="exact"/>
        <w:ind w:firstLine="640" w:firstLineChars="200"/>
        <w:rPr>
          <w:rFonts w:hint="eastAsia" w:ascii="仿宋" w:hAnsi="仿宋" w:eastAsia="仿宋" w:cs="仿宋"/>
          <w:bCs/>
          <w:sz w:val="32"/>
          <w:szCs w:val="32"/>
        </w:rPr>
      </w:pPr>
    </w:p>
    <w:p>
      <w:pPr>
        <w:spacing w:line="540" w:lineRule="exact"/>
        <w:ind w:firstLine="640" w:firstLineChars="200"/>
        <w:rPr>
          <w:rFonts w:hint="eastAsia" w:ascii="仿宋" w:hAnsi="仿宋" w:eastAsia="仿宋" w:cs="仿宋"/>
          <w:bCs/>
          <w:sz w:val="32"/>
          <w:szCs w:val="32"/>
        </w:rPr>
      </w:pPr>
    </w:p>
    <w:p>
      <w:pPr>
        <w:spacing w:line="540" w:lineRule="exact"/>
        <w:jc w:val="center"/>
        <w:rPr>
          <w:rFonts w:hint="eastAsia" w:ascii="宋体" w:hAnsi="宋体"/>
          <w:b/>
          <w:sz w:val="36"/>
          <w:szCs w:val="36"/>
        </w:rPr>
      </w:pPr>
      <w:r>
        <w:rPr>
          <w:rFonts w:hint="eastAsia" w:ascii="宋体" w:hAnsi="宋体"/>
          <w:b/>
          <w:sz w:val="36"/>
          <w:szCs w:val="36"/>
        </w:rPr>
        <w:t>第三部分 本溪市人社局2020年度部门决算情况说明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（一）收入总计1683.77万元，包括：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1.财政拨款收入1683.77万元，其中：公共预算财政拨款收入0万元，政府性基金收入0万元。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2.上级补助收入0万元，主要是0等收入。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3.事业收入0万元，主要是0等收入。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4.经营收入0万元，主要是0等收入。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5.附属单位上缴收入0万元，主要是0等收入。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6.其他收入0万元，主要是0等收入。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7.用事业基金弥补收支差额0万元，主要是0等。</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8.上年结转和结余172.43万元，主要是项目支出结转和结</w:t>
      </w:r>
      <w:r>
        <w:rPr>
          <w:rFonts w:hint="eastAsia" w:ascii="仿宋_GB2312" w:hAnsi="宋体" w:eastAsia="仿宋_GB2312"/>
          <w:sz w:val="32"/>
          <w:szCs w:val="32"/>
          <w:highlight w:val="none"/>
        </w:rPr>
        <w:t>余等。</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与上年相比，今年收入增加254.81万元，增长18%，主要原因：</w:t>
      </w:r>
      <w:r>
        <w:rPr>
          <w:rFonts w:hint="eastAsia" w:ascii="黑体" w:hAnsi="黑体" w:eastAsia="黑体"/>
          <w:sz w:val="32"/>
          <w:szCs w:val="32"/>
          <w:highlight w:val="none"/>
        </w:rPr>
        <w:t>一是</w:t>
      </w:r>
      <w:r>
        <w:rPr>
          <w:rFonts w:hint="eastAsia" w:ascii="仿宋_GB2312" w:hAnsi="宋体" w:eastAsia="仿宋_GB2312"/>
          <w:sz w:val="32"/>
          <w:szCs w:val="32"/>
          <w:highlight w:val="none"/>
        </w:rPr>
        <w:t>因为社会保障和就业支出增加；。</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（二）支出总计1686.40万元，包括：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1.基本支出438.04万元，主要是为保障机构正常运</w:t>
      </w:r>
      <w:r>
        <w:rPr>
          <w:rFonts w:hint="eastAsia" w:ascii="仿宋_GB2312" w:hAnsi="宋体" w:eastAsia="仿宋_GB2312"/>
          <w:sz w:val="32"/>
          <w:szCs w:val="32"/>
        </w:rPr>
        <w:t>转、完成日常工作任务而发生的各项支出，其中：工资福利支出1402.82万元，对个人和家庭的补助支出18.18万元，商品和服务支出16.56万元。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2.项目支出1248.35万元，主要包括人力资源和社会保障管理事务等业务支出。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3.上缴上级支出0万元，主要包括0等业务支出。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4.经营支出0万元，主要包括0等业务支出。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5.对附属单位补助支出0万元，主要包括0等业务支出</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与上年相比，今年支出增加428.73万元，增长34%，主要原因：</w:t>
      </w:r>
      <w:r>
        <w:rPr>
          <w:rFonts w:hint="eastAsia" w:ascii="黑体" w:hAnsi="黑体" w:eastAsia="黑体"/>
          <w:sz w:val="32"/>
          <w:szCs w:val="32"/>
          <w:highlight w:val="none"/>
        </w:rPr>
        <w:t>一是</w:t>
      </w:r>
      <w:r>
        <w:rPr>
          <w:rFonts w:hint="eastAsia" w:ascii="仿宋_GB2312" w:hAnsi="宋体" w:eastAsia="仿宋_GB2312"/>
          <w:sz w:val="32"/>
          <w:szCs w:val="32"/>
          <w:highlight w:val="none"/>
        </w:rPr>
        <w:t>人力资源和社会保障管理事务的增长。</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（三）年末结转和结余XX万元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主要是项目支出等原因形成的结</w:t>
      </w:r>
      <w:r>
        <w:rPr>
          <w:rFonts w:hint="eastAsia" w:ascii="仿宋_GB2312" w:hAnsi="宋体" w:eastAsia="仿宋_GB2312"/>
          <w:sz w:val="32"/>
          <w:szCs w:val="32"/>
          <w:highlight w:val="none"/>
        </w:rPr>
        <w:t>余。与上年相比，今年结转结余减少2.62万元，降低2%，主要原因：</w:t>
      </w:r>
      <w:r>
        <w:rPr>
          <w:rFonts w:hint="eastAsia" w:ascii="黑体" w:hAnsi="黑体" w:eastAsia="黑体"/>
          <w:sz w:val="32"/>
          <w:szCs w:val="32"/>
          <w:highlight w:val="none"/>
        </w:rPr>
        <w:t>一是</w:t>
      </w:r>
      <w:r>
        <w:rPr>
          <w:rFonts w:hint="eastAsia" w:ascii="仿宋_GB2312" w:hAnsi="宋体" w:eastAsia="仿宋_GB2312"/>
          <w:sz w:val="32"/>
          <w:szCs w:val="32"/>
          <w:highlight w:val="none"/>
        </w:rPr>
        <w:t>项目支出的减少。</w:t>
      </w:r>
    </w:p>
    <w:p>
      <w:pPr>
        <w:spacing w:line="540" w:lineRule="exact"/>
        <w:ind w:firstLine="660"/>
        <w:rPr>
          <w:rFonts w:hint="eastAsia" w:ascii="黑体" w:hAnsi="黑体" w:eastAsia="黑体"/>
          <w:sz w:val="32"/>
          <w:szCs w:val="32"/>
          <w:highlight w:val="none"/>
        </w:rPr>
      </w:pPr>
      <w:r>
        <w:rPr>
          <w:rFonts w:hint="eastAsia" w:ascii="黑体" w:hAnsi="黑体" w:eastAsia="黑体"/>
          <w:sz w:val="32"/>
          <w:szCs w:val="32"/>
          <w:highlight w:val="none"/>
        </w:rPr>
        <w:t>二、财政拨款支出决算情况</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财政拨款支出决算反映本单位2019年整体财政拨款支</w:t>
      </w:r>
      <w:r>
        <w:rPr>
          <w:rFonts w:hint="eastAsia" w:ascii="仿宋_GB2312" w:hAnsi="宋体" w:eastAsia="仿宋_GB2312"/>
          <w:sz w:val="32"/>
          <w:szCs w:val="32"/>
        </w:rPr>
        <w:t>出情况，既包括使用当年财政拨款发生的支出，也包括使用以前年度财政拨款结转和结余资金发生的支出。2019年度财政拨款支出1686.40万元，其中：基本支出438.04万元，项目支出1248.35万元。</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2019年度财政拨款支出1686.40万元，比上年增加428.73万元，增长34%，主要原因是。其中：按支出功能分类科目分，包括一般公共服务支出0万元，科学技术支出0万元，社会保障和就业支出1663.65万元，医疗卫生支出0万元，节能环保支出0万元，农林水支出0万元，交通运输支出0万元，资源勘探信息等支出0万元，国土资源气象等支出0万元，住房保障支出23.27万元，其他</w:t>
      </w:r>
      <w:r>
        <w:rPr>
          <w:rFonts w:hint="eastAsia" w:ascii="仿宋_GB2312" w:hAnsi="宋体" w:eastAsia="仿宋_GB2312"/>
          <w:sz w:val="32"/>
          <w:szCs w:val="32"/>
        </w:rPr>
        <w:t>支出0万元。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1.一般公共服务支出1645.65万元，包括：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（1）行政运行398.11万元，主要是行政运行等支出。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（2）一般行政管理事务1247.54万元，主要是一般行政管理事务等支出。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（3）预算改革业务0万元，主要是0等支出。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（4）财政国库业务0万元，主要是0等支出。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（5）信息化建设0万元，主要是0等支出。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（6）事业运行0万元，主要是0等支出。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（7）财政委托业务支出0万元，主要是0等支出。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（8）其他财政事务支出0万元，主要是0等支出。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（9）其他一般公共服务支出0万元，主要是0等支出。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其他科学技术支出0万元，主要是0等支出。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3.社会保障和就业支出1663.13万元，包括：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（1）归口管理的行政单位离退休16.67万元，主要是行政单位离退休人员等支出。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（2）事业单位离退休0万元，主要是0等支出。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水体支出0万元，主要是0等支出。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其他农业支出0万元，主要是0等支出。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石油价格改革补贴其他支出0万元，主要是0等支出。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ascii="仿宋_GB2312" w:hAnsi="宋体" w:eastAsia="仿宋_GB2312"/>
          <w:sz w:val="32"/>
          <w:szCs w:val="32"/>
        </w:rPr>
        <w:t>XX</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（1）其他工业和信息产业监管支出0万元，主要是0等支出。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（2）建设项目贷款贴息支出0万元，主要是0等支出。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其他国土资源事务支出0万元，主要是0等支出。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10.住房保障支出23.27万元，包括：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住房公积金23.27万元，主要是公积金等支出。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11.其他支出0万元，包括：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其他支出0万元，主要是0等支出。</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highlight w:val="none"/>
        </w:rPr>
      </w:pPr>
      <w:r>
        <w:rPr>
          <w:rFonts w:hint="eastAsia" w:ascii="仿宋_GB2312" w:hAnsi="宋体" w:eastAsia="仿宋_GB2312"/>
          <w:sz w:val="32"/>
          <w:szCs w:val="32"/>
        </w:rPr>
        <w:t>2019年度公共预算财政拨款安排的“三公”经费支出0万元，其中：因公出国（境）费0万元，公务接待费万元，公务用车购置及运行维护费0万元</w:t>
      </w:r>
      <w:r>
        <w:rPr>
          <w:rFonts w:hint="eastAsia" w:ascii="仿宋_GB2312" w:hAnsi="宋体" w:eastAsia="仿宋_GB2312"/>
          <w:sz w:val="32"/>
          <w:szCs w:val="32"/>
          <w:highlight w:val="none"/>
        </w:rPr>
        <w:t>。2019年度“三公”经费支出比2019年初预算少支出0万元，主要是未申请等原因。比2018年决算减少0万元，下降（增长）0%，主要是未申请等原因。</w:t>
      </w:r>
    </w:p>
    <w:p>
      <w:pPr>
        <w:spacing w:line="540" w:lineRule="exact"/>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1.因公出国（境）费0万元，主要用于0等，2019年参加出国（境）团组0个，累计0人次。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highlight w:val="none"/>
        </w:rPr>
        <w:t>2.公务接待费0万元，主要用于0等，2019年国内公</w:t>
      </w:r>
      <w:r>
        <w:rPr>
          <w:rFonts w:hint="eastAsia" w:ascii="仿宋_GB2312" w:hAnsi="宋体" w:eastAsia="仿宋_GB2312"/>
          <w:sz w:val="32"/>
          <w:szCs w:val="32"/>
        </w:rPr>
        <w:t>务接待累计0批次，0人，0万元。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3.公务用车购置及运行维护费0万元，其中：公务用车购置费0万元，公务用车运行维护费0万元。2019年购置公务用车0辆，年末公务用车保有量0辆。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highlight w:val="none"/>
        </w:rPr>
      </w:pPr>
      <w:bookmarkStart w:id="0" w:name="_GoBack"/>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2019年机关运行经费支出0万元，比2018年增加（减少）0万元，增长（降低）0%，主要原因是XX。</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2019年本单位政府采购支出总额0万元，其中：政府采购货物支出0万元，政府采购工程支出0万元，政府采购服务支出0万元。</w:t>
      </w:r>
      <w:r>
        <w:rPr>
          <w:rFonts w:hint="eastAsia" w:ascii="仿宋_GB2312" w:eastAsia="仿宋_GB2312"/>
          <w:sz w:val="32"/>
          <w:szCs w:val="32"/>
          <w:highlight w:val="none"/>
        </w:rPr>
        <w:t>其中：授予小微企业合同金额0万元，占政府采购支出总额的0%。</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bookmarkEnd w:id="0"/>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2019年12月31日，本单位共有车辆0辆，其中：副局级以上领导干部用车0辆，一般公务用车0辆，一般执法执勤用车0辆，特种专业技术用车0辆，其他用车0辆；单位价值50万元以上设备0台（套）,单价100万元以上专用设备0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黑体" w:eastAsia="仿宋_GB2312"/>
          <w:sz w:val="32"/>
          <w:szCs w:val="32"/>
        </w:rPr>
      </w:pPr>
      <w:r>
        <w:rPr>
          <w:rFonts w:hint="eastAsia" w:ascii="仿宋_GB2312" w:hAnsi="宋体" w:eastAsia="仿宋_GB2312" w:cs="宋体"/>
          <w:sz w:val="32"/>
          <w:szCs w:val="32"/>
        </w:rPr>
        <w:t>根据财政预算管理要求，我单位组织对2019年度预算项目支出全面开展绩效自评，共涉及预算支出项目</w:t>
      </w:r>
      <w:r>
        <w:rPr>
          <w:rFonts w:hint="eastAsia" w:ascii="仿宋_GB2312" w:hAnsi="黑体" w:eastAsia="仿宋_GB2312"/>
          <w:sz w:val="32"/>
          <w:szCs w:val="32"/>
        </w:rPr>
        <w:t>22</w:t>
      </w:r>
      <w:r>
        <w:rPr>
          <w:rFonts w:hint="eastAsia" w:ascii="仿宋_GB2312" w:hAnsi="宋体" w:eastAsia="仿宋_GB2312" w:cs="宋体"/>
          <w:sz w:val="32"/>
          <w:szCs w:val="32"/>
        </w:rPr>
        <w:t>个，涉及资金</w:t>
      </w:r>
      <w:r>
        <w:rPr>
          <w:rFonts w:hint="eastAsia" w:ascii="仿宋_GB2312" w:hAnsi="黑体" w:eastAsia="仿宋_GB2312"/>
          <w:sz w:val="32"/>
          <w:szCs w:val="32"/>
        </w:rPr>
        <w:t>991</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rPr>
        <w:t>83</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90</w:t>
      </w:r>
    </w:p>
    <w:p>
      <w:pPr>
        <w:ind w:firstLine="640" w:firstLineChars="200"/>
        <w:rPr>
          <w:rFonts w:hint="eastAsia" w:ascii="仿宋_GB2312" w:hAnsi="黑体" w:eastAsia="仿宋_GB2312"/>
          <w:sz w:val="32"/>
          <w:szCs w:val="32"/>
        </w:rPr>
      </w:pP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一是预算项目支出绩效管理工作的理念还需要进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p>
      <w:pPr>
        <w:spacing w:line="220" w:lineRule="atLeast"/>
      </w:pPr>
    </w:p>
    <w:sectPr>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54338F"/>
    <w:rsid w:val="005D1A99"/>
    <w:rsid w:val="008B7726"/>
    <w:rsid w:val="00CE30AE"/>
    <w:rsid w:val="00D31D50"/>
    <w:rsid w:val="00E028EC"/>
    <w:rsid w:val="00E342A4"/>
    <w:rsid w:val="5B370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styleId="6">
    <w:name w:val="page number"/>
    <w:basedOn w:val="5"/>
    <w:uiPriority w:val="0"/>
  </w:style>
  <w:style w:type="character" w:customStyle="1" w:styleId="7">
    <w:name w:val="页眉 Char"/>
    <w:basedOn w:val="5"/>
    <w:link w:val="3"/>
    <w:semiHidden/>
    <w:uiPriority w:val="99"/>
    <w:rPr>
      <w:rFonts w:ascii="Tahoma" w:hAnsi="Tahoma"/>
      <w:sz w:val="18"/>
      <w:szCs w:val="18"/>
    </w:rPr>
  </w:style>
  <w:style w:type="character" w:customStyle="1" w:styleId="8">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1012</Words>
  <Characters>5771</Characters>
  <Lines>48</Lines>
  <Paragraphs>13</Paragraphs>
  <TotalTime>21</TotalTime>
  <ScaleCrop>false</ScaleCrop>
  <LinksUpToDate>false</LinksUpToDate>
  <CharactersWithSpaces>6770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mmssc</dc:creator>
  <cp:lastModifiedBy>妥妥的</cp:lastModifiedBy>
  <dcterms:modified xsi:type="dcterms:W3CDTF">2021-09-03T07:02:33Z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62226B7CBA9B49A4B760A51471D48F68</vt:lpwstr>
  </property>
</Properties>
</file>