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b/>
          <w:sz w:val="44"/>
          <w:szCs w:val="44"/>
        </w:rPr>
      </w:pPr>
      <w:r>
        <w:rPr>
          <w:rFonts w:hint="eastAsia"/>
          <w:b/>
          <w:sz w:val="44"/>
          <w:szCs w:val="44"/>
          <w:lang w:val="en-US" w:eastAsia="zh-CN"/>
        </w:rPr>
        <w:t>东兴街道东兴社区卫生服务中心</w:t>
      </w:r>
      <w:r>
        <w:rPr>
          <w:rFonts w:hint="eastAsia"/>
          <w:b/>
          <w:sz w:val="44"/>
          <w:szCs w:val="44"/>
        </w:rPr>
        <w:t>决</w:t>
      </w:r>
    </w:p>
    <w:p>
      <w:pPr>
        <w:spacing w:line="540" w:lineRule="exact"/>
        <w:jc w:val="center"/>
        <w:rPr>
          <w:rFonts w:hint="eastAsia" w:ascii="宋体" w:hAnsi="宋体"/>
          <w:b/>
          <w:sz w:val="36"/>
          <w:szCs w:val="36"/>
          <w:lang w:eastAsia="zh-CN"/>
        </w:rPr>
      </w:pPr>
      <w:r>
        <w:rPr>
          <w:rFonts w:hint="eastAsia" w:ascii="宋体" w:hAnsi="宋体"/>
          <w:b/>
          <w:sz w:val="52"/>
          <w:szCs w:val="52"/>
          <w:lang w:eastAsia="zh-CN"/>
        </w:rPr>
        <w:t>2021</w:t>
      </w:r>
      <w:r>
        <w:rPr>
          <w:rFonts w:hint="eastAsia" w:ascii="宋体" w:hAnsi="宋体"/>
          <w:b/>
          <w:sz w:val="52"/>
          <w:szCs w:val="52"/>
        </w:rPr>
        <w:t>年度部门决算</w:t>
      </w: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部门</w:t>
      </w:r>
      <w:r>
        <w:rPr>
          <w:rFonts w:hint="eastAsia" w:ascii="宋体" w:hAnsi="宋体"/>
          <w:b/>
          <w:sz w:val="36"/>
          <w:szCs w:val="36"/>
        </w:rPr>
        <w:t>概况</w:t>
      </w:r>
    </w:p>
    <w:p>
      <w:pPr>
        <w:spacing w:line="540" w:lineRule="exact"/>
        <w:ind w:firstLine="640" w:firstLineChars="200"/>
        <w:jc w:val="left"/>
        <w:rPr>
          <w:rFonts w:hint="eastAsia" w:ascii="黑体" w:eastAsia="黑体"/>
          <w:sz w:val="32"/>
          <w:szCs w:val="32"/>
        </w:rPr>
      </w:pPr>
    </w:p>
    <w:p>
      <w:pPr>
        <w:numPr>
          <w:ilvl w:val="0"/>
          <w:numId w:val="1"/>
        </w:numPr>
        <w:rPr>
          <w:rFonts w:hint="eastAsia" w:ascii="黑体" w:eastAsia="黑体"/>
          <w:sz w:val="32"/>
          <w:szCs w:val="32"/>
        </w:rPr>
      </w:pPr>
      <w:r>
        <w:rPr>
          <w:rFonts w:hint="eastAsia" w:ascii="黑体" w:eastAsia="黑体"/>
          <w:sz w:val="32"/>
          <w:szCs w:val="32"/>
        </w:rPr>
        <w:t>主要职责</w:t>
      </w:r>
    </w:p>
    <w:p>
      <w:pPr>
        <w:rPr>
          <w:rFonts w:ascii="宋体" w:hAnsi="宋体" w:eastAsia="宋体" w:cs="宋体"/>
          <w:bCs/>
          <w:sz w:val="30"/>
          <w:szCs w:val="30"/>
        </w:rPr>
      </w:pPr>
      <w:r>
        <w:rPr>
          <w:rFonts w:hint="eastAsia" w:ascii="宋体" w:hAnsi="宋体" w:eastAsia="宋体" w:cs="宋体"/>
          <w:bCs/>
          <w:sz w:val="30"/>
          <w:szCs w:val="30"/>
        </w:rPr>
        <w:t>设有体检科、全科诊室、抢救室、中医科、理疗科、针灸科、小儿推拿科、口腔科、药房、收款室、放射科、输液大厅、配药室、数字化免疫门诊、妇女保健科、儿童保健科、化验室、心电图室、彩超室、公共卫生科、重症精神病管理科等。</w:t>
      </w:r>
    </w:p>
    <w:p>
      <w:pPr>
        <w:rPr>
          <w:rFonts w:ascii="宋体" w:hAnsi="宋体" w:eastAsia="宋体" w:cs="宋体"/>
          <w:bCs/>
          <w:sz w:val="30"/>
          <w:szCs w:val="30"/>
        </w:rPr>
      </w:pPr>
      <w:r>
        <w:rPr>
          <w:rFonts w:hint="eastAsia" w:ascii="宋体" w:hAnsi="宋体" w:eastAsia="宋体" w:cs="宋体"/>
          <w:bCs/>
          <w:sz w:val="30"/>
          <w:szCs w:val="30"/>
        </w:rPr>
        <w:t>二、人员情况：截止12月，在职12人，期中工人岗3人，专业技术9人，退休职工26人，外聘临时工15人，对比2019年发生的变化;当年退休3人为专业技术人员.</w:t>
      </w:r>
    </w:p>
    <w:p>
      <w:pPr>
        <w:tabs>
          <w:tab w:val="left" w:pos="1318"/>
        </w:tabs>
        <w:rPr>
          <w:rFonts w:hint="eastAsia"/>
          <w:b/>
          <w:sz w:val="32"/>
          <w:szCs w:val="32"/>
        </w:rPr>
      </w:pPr>
    </w:p>
    <w:p>
      <w:pPr>
        <w:spacing w:line="540" w:lineRule="exact"/>
        <w:jc w:val="left"/>
        <w:rPr>
          <w:rFonts w:hint="eastAsia" w:ascii="黑体" w:eastAsia="黑体"/>
          <w:sz w:val="32"/>
          <w:szCs w:val="32"/>
        </w:rPr>
      </w:pPr>
      <w:r>
        <w:rPr>
          <w:rFonts w:hint="eastAsia" w:ascii="黑体" w:eastAsia="黑体"/>
          <w:sz w:val="32"/>
          <w:szCs w:val="32"/>
        </w:rPr>
        <w:t>二、部门决算单位构成</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val="en-US" w:eastAsia="zh-CN"/>
        </w:rPr>
        <w:t>本部门</w:t>
      </w:r>
      <w:r>
        <w:rPr>
          <w:rFonts w:hint="eastAsia" w:ascii="仿宋_GB2312" w:eastAsia="仿宋_GB2312"/>
          <w:b/>
          <w:sz w:val="32"/>
          <w:szCs w:val="32"/>
          <w:lang w:eastAsia="zh-CN"/>
        </w:rPr>
        <w:t>2021</w:t>
      </w:r>
      <w:r>
        <w:rPr>
          <w:rFonts w:hint="eastAsia" w:ascii="仿宋_GB2312" w:eastAsia="仿宋_GB2312"/>
          <w:b/>
          <w:sz w:val="32"/>
          <w:szCs w:val="32"/>
        </w:rPr>
        <w:t>年部门决算编制范围的二级预算单位包括：</w:t>
      </w:r>
    </w:p>
    <w:p>
      <w:pPr>
        <w:spacing w:line="540" w:lineRule="exact"/>
        <w:ind w:firstLine="643" w:firstLineChars="200"/>
        <w:jc w:val="left"/>
        <w:rPr>
          <w:rFonts w:hint="eastAsia" w:ascii="仿宋_GB2312" w:eastAsia="仿宋_GB2312"/>
          <w:b/>
          <w:sz w:val="32"/>
          <w:szCs w:val="32"/>
          <w:lang w:val="en-US" w:eastAsia="zh-CN"/>
        </w:rPr>
      </w:pPr>
      <w:r>
        <w:rPr>
          <w:rFonts w:hint="eastAsia" w:ascii="仿宋_GB2312" w:eastAsia="仿宋_GB2312"/>
          <w:b/>
          <w:sz w:val="32"/>
          <w:szCs w:val="32"/>
          <w:lang w:val="en-US" w:eastAsia="zh-CN"/>
        </w:rPr>
        <w:t>无</w:t>
      </w:r>
    </w:p>
    <w:p>
      <w:pPr>
        <w:spacing w:line="540" w:lineRule="exact"/>
        <w:ind w:firstLine="723" w:firstLineChars="200"/>
        <w:jc w:val="center"/>
        <w:rPr>
          <w:rFonts w:hint="eastAsia" w:ascii="宋体" w:hAnsi="宋体"/>
          <w:b/>
          <w:sz w:val="36"/>
          <w:szCs w:val="36"/>
        </w:rPr>
      </w:pPr>
      <w:r>
        <w:rPr>
          <w:rFonts w:hint="eastAsia" w:ascii="宋体" w:hAnsi="宋体"/>
          <w:b/>
          <w:sz w:val="36"/>
          <w:szCs w:val="36"/>
        </w:rPr>
        <w:t>第</w:t>
      </w:r>
      <w:r>
        <w:rPr>
          <w:rFonts w:hint="eastAsia" w:ascii="宋体" w:hAnsi="宋体"/>
          <w:b/>
          <w:sz w:val="36"/>
          <w:szCs w:val="36"/>
          <w:lang w:val="en-US" w:eastAsia="zh-CN"/>
        </w:rPr>
        <w:t>二</w:t>
      </w:r>
      <w:r>
        <w:rPr>
          <w:rFonts w:hint="eastAsia" w:ascii="宋体" w:hAnsi="宋体"/>
          <w:b/>
          <w:sz w:val="36"/>
          <w:szCs w:val="36"/>
        </w:rPr>
        <w:t>部分 部门决算情况说明</w:t>
      </w:r>
    </w:p>
    <w:p>
      <w:pPr>
        <w:spacing w:line="540" w:lineRule="exact"/>
        <w:rPr>
          <w:rFonts w:hint="eastAsia" w:ascii="宋体" w:hAnsi="宋体"/>
          <w:b/>
          <w:sz w:val="36"/>
          <w:szCs w:val="36"/>
        </w:rPr>
      </w:pPr>
    </w:p>
    <w:p>
      <w:pPr>
        <w:spacing w:line="540" w:lineRule="exact"/>
        <w:ind w:firstLine="627" w:firstLineChars="196"/>
        <w:rPr>
          <w:rFonts w:hint="eastAsia" w:ascii="黑体" w:hAnsi="黑体" w:eastAsia="黑体"/>
          <w:sz w:val="32"/>
          <w:szCs w:val="32"/>
          <w:lang w:eastAsia="zh-CN"/>
        </w:rPr>
      </w:pPr>
      <w:r>
        <w:rPr>
          <w:rFonts w:hint="eastAsia" w:ascii="黑体" w:hAnsi="黑体" w:eastAsia="黑体"/>
          <w:sz w:val="32"/>
          <w:szCs w:val="32"/>
        </w:rPr>
        <w:t>一、收入支出决算总体情况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296.19</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hAnsi="宋体" w:eastAsia="仿宋_GB2312"/>
          <w:sz w:val="32"/>
          <w:szCs w:val="32"/>
          <w:lang w:val="en-US" w:eastAsia="zh-CN"/>
        </w:rPr>
        <w:t>4.4</w:t>
      </w:r>
      <w:r>
        <w:rPr>
          <w:rFonts w:ascii="仿宋_GB2312" w:hAnsi="宋体" w:eastAsia="仿宋_GB2312"/>
          <w:sz w:val="32"/>
          <w:szCs w:val="32"/>
        </w:rPr>
        <w:t>%</w:t>
      </w:r>
      <w:r>
        <w:rPr>
          <w:rFonts w:hint="eastAsia" w:ascii="仿宋_GB2312" w:hAnsi="宋体" w:eastAsia="仿宋_GB2312"/>
          <w:sz w:val="32"/>
          <w:szCs w:val="32"/>
        </w:rPr>
        <w:t>。其中：</w:t>
      </w:r>
      <w:r>
        <w:rPr>
          <w:rFonts w:hint="eastAsia" w:ascii="仿宋_GB2312" w:hAnsi="宋体" w:eastAsia="仿宋_GB2312"/>
          <w:sz w:val="32"/>
          <w:szCs w:val="32"/>
          <w:lang w:val="en-US" w:eastAsia="zh-CN"/>
        </w:rPr>
        <w:t>一般</w:t>
      </w:r>
      <w:r>
        <w:rPr>
          <w:rFonts w:hint="eastAsia" w:ascii="仿宋_GB2312" w:hAnsi="宋体" w:eastAsia="仿宋_GB2312"/>
          <w:sz w:val="32"/>
          <w:szCs w:val="32"/>
        </w:rPr>
        <w:t>公共预算财政拨款收入</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万元，政府性基金收入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国有资本经营预算财政拨款收入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283.19</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95.6</w:t>
      </w:r>
      <w:r>
        <w:rPr>
          <w:rFonts w:hint="eastAsia" w:ascii="仿宋_GB2312" w:hAnsi="宋体" w:eastAsia="仿宋_GB2312"/>
          <w:sz w:val="32"/>
          <w:szCs w:val="32"/>
        </w:rPr>
        <w:t>%。主</w:t>
      </w:r>
      <w:r>
        <w:rPr>
          <w:rFonts w:hint="eastAsia" w:ascii="仿宋_GB2312" w:hAnsi="宋体" w:eastAsia="仿宋_GB2312"/>
          <w:sz w:val="32"/>
          <w:szCs w:val="32"/>
          <w:lang w:eastAsia="zh-CN"/>
        </w:rPr>
        <w:t>要是医疗</w:t>
      </w:r>
      <w:r>
        <w:rPr>
          <w:rFonts w:hint="eastAsia" w:ascii="仿宋_GB2312" w:hAnsi="宋体" w:eastAsia="仿宋_GB2312"/>
          <w:sz w:val="32"/>
          <w:szCs w:val="32"/>
        </w:rPr>
        <w:t>收入。</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val="en-US" w:eastAsia="zh-CN"/>
        </w:rPr>
        <w:t>使用非财政拨款结余0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与上年相比，今年收入</w:t>
      </w:r>
      <w:r>
        <w:rPr>
          <w:rFonts w:hint="eastAsia" w:ascii="仿宋_GB2312" w:hAnsi="宋体" w:eastAsia="仿宋_GB2312"/>
          <w:sz w:val="32"/>
          <w:szCs w:val="32"/>
          <w:lang w:val="en-US" w:eastAsia="zh-CN"/>
        </w:rPr>
        <w:t>减少104.9</w:t>
      </w:r>
      <w:r>
        <w:rPr>
          <w:rFonts w:hint="eastAsia" w:ascii="仿宋_GB2312" w:hAnsi="宋体" w:eastAsia="仿宋_GB2312"/>
          <w:sz w:val="32"/>
          <w:szCs w:val="32"/>
        </w:rPr>
        <w:t>万</w:t>
      </w:r>
      <w:r>
        <w:rPr>
          <w:rFonts w:hint="eastAsia" w:ascii="仿宋_GB2312" w:hAnsi="宋体" w:eastAsia="仿宋_GB2312"/>
          <w:sz w:val="32"/>
          <w:szCs w:val="32"/>
          <w:lang w:val="en-US" w:eastAsia="zh-CN"/>
        </w:rPr>
        <w:t>元，降低26.15%，主要原因：事业收入减少。</w:t>
      </w:r>
    </w:p>
    <w:p>
      <w:pPr>
        <w:spacing w:line="540" w:lineRule="exact"/>
        <w:ind w:firstLine="660"/>
        <w:rPr>
          <w:rFonts w:hint="eastAsia" w:ascii="仿宋_GB2312" w:hAnsi="宋体" w:eastAsia="仿宋_GB2312"/>
          <w:sz w:val="32"/>
          <w:szCs w:val="32"/>
        </w:rPr>
      </w:pP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296.19</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296.19</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%。主要是为保障机构正常运转、完成日常工作任务而发生的各项支出，其中：工资福利支出</w:t>
      </w:r>
      <w:r>
        <w:rPr>
          <w:rFonts w:hint="eastAsia" w:ascii="楷体_GB2312" w:hAnsi="宋体" w:eastAsia="楷体_GB2312"/>
          <w:b/>
          <w:sz w:val="32"/>
          <w:szCs w:val="32"/>
          <w:lang w:val="en-US" w:eastAsia="zh-CN"/>
        </w:rPr>
        <w:t>212.02</w:t>
      </w:r>
      <w:r>
        <w:rPr>
          <w:rFonts w:hint="eastAsia" w:ascii="仿宋_GB2312" w:hAnsi="宋体" w:eastAsia="仿宋_GB2312"/>
          <w:sz w:val="32"/>
          <w:szCs w:val="32"/>
        </w:rPr>
        <w:t>万元，对个人和家庭的补助支出</w:t>
      </w:r>
      <w:r>
        <w:rPr>
          <w:rFonts w:hint="eastAsia" w:ascii="楷体_GB2312" w:hAnsi="宋体" w:eastAsia="楷体_GB2312"/>
          <w:b/>
          <w:sz w:val="32"/>
          <w:szCs w:val="32"/>
          <w:lang w:val="en-US" w:eastAsia="zh-CN"/>
        </w:rPr>
        <w:t>2.43</w:t>
      </w:r>
      <w:r>
        <w:rPr>
          <w:rFonts w:hint="eastAsia" w:ascii="仿宋_GB2312" w:hAnsi="宋体" w:eastAsia="仿宋_GB2312"/>
          <w:sz w:val="32"/>
          <w:szCs w:val="32"/>
        </w:rPr>
        <w:t>万元，商品和服务支出</w:t>
      </w:r>
      <w:r>
        <w:rPr>
          <w:rFonts w:hint="eastAsia" w:ascii="楷体_GB2312" w:hAnsi="宋体" w:eastAsia="楷体_GB2312"/>
          <w:b/>
          <w:sz w:val="32"/>
          <w:szCs w:val="32"/>
          <w:lang w:val="en-US" w:eastAsia="zh-CN"/>
        </w:rPr>
        <w:t>81.74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default" w:ascii="仿宋" w:hAnsi="仿宋" w:eastAsia="仿宋" w:cs="仿宋"/>
          <w:sz w:val="32"/>
          <w:szCs w:val="32"/>
          <w:lang w:val="en-US" w:eastAsia="zh-CN"/>
        </w:rPr>
      </w:pPr>
      <w:r>
        <w:rPr>
          <w:rFonts w:hint="eastAsia" w:ascii="仿宋_GB2312" w:hAnsi="宋体" w:eastAsia="仿宋_GB2312"/>
          <w:sz w:val="32"/>
          <w:szCs w:val="32"/>
        </w:rPr>
        <w:t>与上年相比，今年支出</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104.9</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26.15%</w:t>
      </w:r>
      <w:r>
        <w:rPr>
          <w:rFonts w:hint="eastAsia" w:ascii="仿宋_GB2312" w:hAnsi="宋体" w:eastAsia="仿宋_GB2312"/>
          <w:sz w:val="32"/>
          <w:szCs w:val="32"/>
        </w:rPr>
        <w:t>，主要原因：</w:t>
      </w:r>
      <w:r>
        <w:rPr>
          <w:rFonts w:hint="eastAsia" w:ascii="仿宋_GB2312" w:hAnsi="宋体" w:eastAsia="仿宋_GB2312"/>
          <w:sz w:val="32"/>
          <w:szCs w:val="32"/>
          <w:lang w:eastAsia="zh-CN"/>
        </w:rPr>
        <w:t>疫情影响，业务量减少，支出减少</w:t>
      </w:r>
      <w:r>
        <w:rPr>
          <w:rFonts w:hint="eastAsia" w:ascii="仿宋_GB2312" w:hAnsi="宋体" w:eastAsia="仿宋_GB2312"/>
          <w:sz w:val="32"/>
          <w:szCs w:val="32"/>
          <w:lang w:val="en-US" w:eastAsia="zh-CN"/>
        </w:rPr>
        <w:t>.</w:t>
      </w:r>
    </w:p>
    <w:p>
      <w:pPr>
        <w:spacing w:line="540" w:lineRule="exact"/>
        <w:ind w:firstLine="660"/>
        <w:rPr>
          <w:rFonts w:hint="default" w:ascii="楷体_GB2312" w:hAnsi="宋体" w:eastAsia="楷体_GB2312"/>
          <w:b/>
          <w:sz w:val="32"/>
          <w:szCs w:val="32"/>
          <w:lang w:val="en-US" w:eastAsia="zh-CN"/>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0</w:t>
      </w:r>
      <w:r>
        <w:rPr>
          <w:rFonts w:hint="eastAsia" w:ascii="楷体_GB2312" w:hAnsi="宋体" w:eastAsia="楷体_GB2312"/>
          <w:b/>
          <w:sz w:val="32"/>
          <w:szCs w:val="32"/>
        </w:rPr>
        <w:t>万元。</w:t>
      </w:r>
      <w:r>
        <w:rPr>
          <w:rFonts w:hint="eastAsia" w:ascii="楷体_GB2312" w:hAnsi="宋体" w:eastAsia="楷体_GB2312"/>
          <w:b/>
          <w:sz w:val="32"/>
          <w:szCs w:val="32"/>
          <w:lang w:val="en-US" w:eastAsia="zh-CN"/>
        </w:rPr>
        <w:t>与上年数保持一致。</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二、财政拨款支出决算情况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年度财政拨款支出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万元，其中：基本支出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万元，项目支出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37</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74%</w:t>
      </w:r>
      <w:r>
        <w:rPr>
          <w:rFonts w:hint="eastAsia" w:ascii="仿宋_GB2312" w:hAnsi="宋体" w:eastAsia="仿宋_GB2312"/>
          <w:sz w:val="32"/>
          <w:szCs w:val="32"/>
        </w:rPr>
        <w:t>主要原因：</w:t>
      </w:r>
      <w:r>
        <w:rPr>
          <w:rFonts w:hint="eastAsia" w:ascii="仿宋" w:hAnsi="仿宋" w:eastAsia="仿宋" w:cs="仿宋"/>
          <w:sz w:val="32"/>
          <w:szCs w:val="32"/>
          <w:lang w:eastAsia="zh-CN"/>
        </w:rPr>
        <w:t>财政拨款减少</w:t>
      </w:r>
      <w:r>
        <w:rPr>
          <w:rFonts w:hint="eastAsia" w:ascii="仿宋" w:hAnsi="仿宋" w:eastAsia="仿宋" w:cs="仿宋"/>
          <w:sz w:val="32"/>
          <w:szCs w:val="32"/>
          <w:lang w:val="en-US" w:eastAsia="zh-CN"/>
        </w:rPr>
        <w:t>.</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2021</w:t>
      </w:r>
      <w:r>
        <w:rPr>
          <w:rFonts w:hint="eastAsia" w:ascii="仿宋_GB2312" w:hAnsi="宋体" w:eastAsia="仿宋_GB2312"/>
          <w:sz w:val="32"/>
          <w:szCs w:val="32"/>
          <w:lang w:val="en-US" w:eastAsia="zh-CN"/>
        </w:rPr>
        <w:t>年度</w:t>
      </w:r>
      <w:r>
        <w:rPr>
          <w:rFonts w:hint="eastAsia" w:ascii="仿宋_GB2312" w:hAnsi="宋体" w:eastAsia="仿宋_GB2312"/>
          <w:sz w:val="32"/>
          <w:szCs w:val="32"/>
        </w:rPr>
        <w:t>财政拨款支出完成年初预算的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其中：基本支出完成年初预算的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，项目完成年初预算的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val="en-US" w:eastAsia="zh-CN"/>
        </w:rPr>
        <w:t>一般公共预算财政拨款支出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万元，按支出功能分类科目分，包括：</w:t>
      </w:r>
      <w:r>
        <w:rPr>
          <w:rFonts w:hint="eastAsia" w:ascii="仿宋_GB2312" w:hAnsi="宋体" w:eastAsia="仿宋_GB2312"/>
          <w:sz w:val="32"/>
          <w:szCs w:val="32"/>
          <w:lang w:eastAsia="zh-CN"/>
        </w:rPr>
        <w:t>基本支出</w:t>
      </w:r>
      <w:r>
        <w:rPr>
          <w:rFonts w:hint="eastAsia" w:ascii="仿宋_GB2312" w:hAnsi="宋体" w:eastAsia="仿宋_GB2312"/>
          <w:sz w:val="32"/>
          <w:szCs w:val="32"/>
          <w:lang w:val="en-US" w:eastAsia="zh-CN"/>
        </w:rPr>
        <w:t>13万,占</w:t>
      </w:r>
      <w:r>
        <w:rPr>
          <w:rFonts w:hint="eastAsia" w:ascii="仿宋_GB2312" w:hAnsi="宋体" w:eastAsia="仿宋_GB2312"/>
          <w:sz w:val="32"/>
          <w:szCs w:val="32"/>
        </w:rPr>
        <w:t>一般公共预算财政拨款支出</w:t>
      </w:r>
      <w:r>
        <w:rPr>
          <w:rFonts w:hint="eastAsia" w:ascii="仿宋_GB2312" w:hAnsi="宋体" w:eastAsia="仿宋_GB2312"/>
          <w:sz w:val="32"/>
          <w:szCs w:val="32"/>
          <w:lang w:eastAsia="zh-CN"/>
        </w:rPr>
        <w:t>的</w:t>
      </w:r>
      <w:r>
        <w:rPr>
          <w:rFonts w:hint="eastAsia" w:ascii="仿宋_GB2312" w:hAnsi="宋体" w:eastAsia="仿宋_GB2312"/>
          <w:sz w:val="32"/>
          <w:szCs w:val="32"/>
          <w:lang w:val="en-US" w:eastAsia="zh-CN"/>
        </w:rPr>
        <w:t>100%</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基本支出包括:人员经费中的基本工资支出13万元,占基本支出100%</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三</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政府性基金预算财政拨款支出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年度政府性基金预算财政拨款支出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四</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国有资本经营预算财政拨款支出</w:t>
      </w:r>
      <w:r>
        <w:rPr>
          <w:rFonts w:hint="eastAsia" w:ascii="楷体_GB2312" w:hAnsi="宋体" w:eastAsia="楷体_GB2312"/>
          <w:b/>
          <w:sz w:val="32"/>
          <w:szCs w:val="32"/>
        </w:rPr>
        <w:t>情况。</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年度国有资本经营预算财政拨款支出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三、一般公共预算财政拨款“三公”经费支出决算情况</w:t>
      </w:r>
      <w:r>
        <w:rPr>
          <w:rFonts w:hint="eastAsia" w:ascii="黑体" w:hAnsi="黑体" w:eastAsia="黑体"/>
          <w:sz w:val="32"/>
          <w:szCs w:val="32"/>
          <w:lang w:eastAsia="zh-CN"/>
        </w:rPr>
        <w:t>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年度一般公共预算财政拨款安排的“三公”经费支出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，决算数</w:t>
      </w:r>
      <w:r>
        <w:rPr>
          <w:rFonts w:hint="eastAsia" w:ascii="仿宋_GB2312" w:hAnsi="宋体" w:eastAsia="仿宋_GB2312"/>
          <w:sz w:val="32"/>
          <w:szCs w:val="32"/>
          <w:lang w:val="en-US" w:eastAsia="zh-CN"/>
        </w:rPr>
        <w:t>与</w:t>
      </w:r>
      <w:r>
        <w:rPr>
          <w:rFonts w:hint="eastAsia" w:ascii="仿宋_GB2312" w:hAnsi="宋体" w:eastAsia="仿宋_GB2312"/>
          <w:sz w:val="32"/>
          <w:szCs w:val="32"/>
        </w:rPr>
        <w:t>年初预算数</w:t>
      </w:r>
      <w:r>
        <w:rPr>
          <w:rFonts w:hint="eastAsia" w:ascii="仿宋_GB2312" w:hAnsi="宋体" w:eastAsia="仿宋_GB2312"/>
          <w:sz w:val="32"/>
          <w:szCs w:val="32"/>
          <w:lang w:val="en-US" w:eastAsia="zh-CN"/>
        </w:rPr>
        <w:t>一致</w:t>
      </w:r>
      <w:r>
        <w:rPr>
          <w:rFonts w:hint="eastAsia" w:ascii="仿宋_GB2312" w:hAnsi="宋体" w:eastAsia="仿宋_GB2312"/>
          <w:sz w:val="32"/>
          <w:szCs w:val="32"/>
        </w:rPr>
        <w:t>。其中：因公出国（境）费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万元，公务接待费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万元，公务用车购置及运行维护费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占</w:t>
      </w:r>
      <w:r>
        <w:rPr>
          <w:rFonts w:hint="eastAsia" w:ascii="仿宋_GB2312" w:hAnsi="宋体" w:eastAsia="仿宋_GB2312"/>
          <w:sz w:val="32"/>
          <w:szCs w:val="32"/>
        </w:rPr>
        <w:t>“三公”经费支出</w:t>
      </w:r>
      <w:r>
        <w:rPr>
          <w:rFonts w:hint="eastAsia" w:ascii="仿宋_GB2312" w:hAnsi="宋体" w:eastAsia="仿宋_GB2312"/>
          <w:sz w:val="32"/>
          <w:szCs w:val="32"/>
          <w:lang w:val="en-US" w:eastAsia="zh-CN"/>
        </w:rPr>
        <w:t>的0%。</w:t>
      </w:r>
      <w:r>
        <w:rPr>
          <w:rFonts w:hint="eastAsia" w:ascii="仿宋_GB2312" w:hAnsi="宋体" w:eastAsia="仿宋_GB2312"/>
          <w:sz w:val="32"/>
          <w:szCs w:val="32"/>
        </w:rPr>
        <w:t>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w:t>
      </w:r>
      <w:r>
        <w:rPr>
          <w:rFonts w:hint="eastAsia" w:ascii="仿宋_GB2312" w:hAnsi="宋体" w:eastAsia="仿宋_GB2312"/>
          <w:sz w:val="32"/>
          <w:szCs w:val="32"/>
          <w:lang w:eastAsia="zh-CN"/>
        </w:rPr>
        <w:t>2021</w:t>
      </w:r>
      <w:r>
        <w:rPr>
          <w:rFonts w:hint="eastAsia" w:ascii="仿宋_GB2312" w:hAnsi="宋体" w:eastAsia="仿宋_GB2312"/>
          <w:sz w:val="32"/>
          <w:szCs w:val="32"/>
        </w:rPr>
        <w:t>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r>
        <w:rPr>
          <w:rFonts w:hint="eastAsia" w:ascii="仿宋_GB2312" w:hAnsi="宋体" w:eastAsia="仿宋_GB2312"/>
          <w:sz w:val="32"/>
          <w:szCs w:val="32"/>
          <w:lang w:eastAsia="zh-CN"/>
        </w:rPr>
        <w:t>2021</w:t>
      </w:r>
      <w:r>
        <w:rPr>
          <w:rFonts w:hint="eastAsia" w:ascii="仿宋_GB2312" w:hAnsi="宋体" w:eastAsia="仿宋_GB2312"/>
          <w:sz w:val="32"/>
          <w:szCs w:val="32"/>
        </w:rPr>
        <w:t>年因公出国（境）费</w:t>
      </w:r>
      <w:r>
        <w:rPr>
          <w:rFonts w:hint="eastAsia" w:ascii="仿宋_GB2312" w:hAnsi="宋体" w:eastAsia="仿宋_GB2312"/>
          <w:sz w:val="32"/>
          <w:szCs w:val="32"/>
          <w:lang w:val="en-US" w:eastAsia="zh-CN"/>
        </w:rPr>
        <w:t>与</w:t>
      </w:r>
      <w:r>
        <w:rPr>
          <w:rFonts w:hint="eastAsia" w:ascii="仿宋_GB2312" w:hAnsi="宋体" w:eastAsia="仿宋_GB2312"/>
          <w:sz w:val="32"/>
          <w:szCs w:val="32"/>
        </w:rPr>
        <w:t>上年</w:t>
      </w:r>
      <w:r>
        <w:rPr>
          <w:rFonts w:hint="eastAsia" w:ascii="仿宋_GB2312" w:hAnsi="宋体" w:eastAsia="仿宋_GB2312"/>
          <w:sz w:val="32"/>
          <w:szCs w:val="32"/>
          <w:lang w:val="en-US" w:eastAsia="zh-CN"/>
        </w:rPr>
        <w:t>比无变化</w:t>
      </w:r>
      <w:r>
        <w:rPr>
          <w:rFonts w:hint="eastAsia" w:ascii="仿宋_GB2312" w:hAnsi="宋体" w:eastAsia="仿宋_GB2312"/>
          <w:sz w:val="32"/>
          <w:szCs w:val="32"/>
        </w:rPr>
        <w:t>。</w:t>
      </w:r>
    </w:p>
    <w:p>
      <w:pPr>
        <w:spacing w:line="540" w:lineRule="exact"/>
        <w:ind w:firstLine="645"/>
        <w:rPr>
          <w:rFonts w:hint="default" w:ascii="仿宋_GB2312" w:hAnsi="宋体" w:eastAsia="仿宋_GB2312"/>
          <w:sz w:val="32"/>
          <w:szCs w:val="32"/>
          <w:lang w:val="en-US" w:eastAsia="zh-CN"/>
        </w:rPr>
      </w:pPr>
      <w:r>
        <w:rPr>
          <w:rFonts w:hint="eastAsia" w:ascii="仿宋_GB2312" w:hAnsi="宋体" w:eastAsia="仿宋_GB2312"/>
          <w:sz w:val="32"/>
          <w:szCs w:val="32"/>
        </w:rPr>
        <w:t>2.公务接待费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占</w:t>
      </w:r>
      <w:r>
        <w:rPr>
          <w:rFonts w:hint="eastAsia" w:ascii="仿宋_GB2312" w:hAnsi="宋体" w:eastAsia="仿宋_GB2312"/>
          <w:sz w:val="32"/>
          <w:szCs w:val="32"/>
        </w:rPr>
        <w:t>“三公”经费支出</w:t>
      </w:r>
      <w:r>
        <w:rPr>
          <w:rFonts w:hint="eastAsia" w:ascii="仿宋_GB2312" w:hAnsi="宋体" w:eastAsia="仿宋_GB2312"/>
          <w:sz w:val="32"/>
          <w:szCs w:val="32"/>
          <w:lang w:val="en-US" w:eastAsia="zh-CN"/>
        </w:rPr>
        <w:t>的0%。</w:t>
      </w:r>
      <w:r>
        <w:rPr>
          <w:rFonts w:hint="eastAsia" w:ascii="仿宋_GB2312" w:hAnsi="宋体" w:eastAsia="仿宋_GB2312"/>
          <w:sz w:val="32"/>
          <w:szCs w:val="32"/>
        </w:rPr>
        <w:t>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，决算数</w:t>
      </w:r>
      <w:r>
        <w:rPr>
          <w:rFonts w:hint="eastAsia" w:ascii="仿宋_GB2312" w:hAnsi="宋体" w:eastAsia="仿宋_GB2312"/>
          <w:sz w:val="32"/>
          <w:szCs w:val="32"/>
          <w:lang w:val="en-US" w:eastAsia="zh-CN"/>
        </w:rPr>
        <w:t>与</w:t>
      </w:r>
      <w:r>
        <w:rPr>
          <w:rFonts w:hint="eastAsia" w:ascii="仿宋_GB2312" w:hAnsi="宋体" w:eastAsia="仿宋_GB2312"/>
          <w:sz w:val="32"/>
          <w:szCs w:val="32"/>
        </w:rPr>
        <w:t>年初预算数</w:t>
      </w:r>
      <w:r>
        <w:rPr>
          <w:rFonts w:hint="eastAsia" w:ascii="仿宋_GB2312" w:hAnsi="宋体" w:eastAsia="仿宋_GB2312"/>
          <w:sz w:val="32"/>
          <w:szCs w:val="32"/>
          <w:lang w:val="en-US" w:eastAsia="zh-CN"/>
        </w:rPr>
        <w:t>一致</w:t>
      </w:r>
      <w:r>
        <w:rPr>
          <w:rFonts w:hint="eastAsia" w:ascii="仿宋_GB2312" w:hAnsi="宋体" w:eastAsia="仿宋_GB2312"/>
          <w:sz w:val="32"/>
          <w:szCs w:val="32"/>
        </w:rPr>
        <w:t>。</w:t>
      </w:r>
      <w:r>
        <w:rPr>
          <w:rFonts w:hint="eastAsia" w:ascii="仿宋_GB2312" w:hAnsi="宋体" w:eastAsia="仿宋_GB2312"/>
          <w:sz w:val="32"/>
          <w:szCs w:val="32"/>
          <w:lang w:eastAsia="zh-CN"/>
        </w:rPr>
        <w:t>2021</w:t>
      </w:r>
      <w:r>
        <w:rPr>
          <w:rFonts w:hint="eastAsia" w:ascii="仿宋_GB2312" w:hAnsi="宋体" w:eastAsia="仿宋_GB2312"/>
          <w:sz w:val="32"/>
          <w:szCs w:val="32"/>
        </w:rPr>
        <w:t>年国内公务接待累计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批次</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0</w:t>
      </w:r>
      <w:r>
        <w:rPr>
          <w:rFonts w:hint="eastAsia" w:ascii="仿宋_GB2312" w:hAnsi="宋体" w:eastAsia="仿宋_GB2312"/>
          <w:sz w:val="32"/>
          <w:szCs w:val="32"/>
        </w:rPr>
        <w:t>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万元，主要用于</w:t>
      </w:r>
      <w:r>
        <w:rPr>
          <w:rFonts w:hint="eastAsia" w:ascii="仿宋_GB2312" w:hAnsi="宋体" w:eastAsia="仿宋_GB2312"/>
          <w:sz w:val="32"/>
          <w:szCs w:val="32"/>
          <w:lang w:val="en-US" w:eastAsia="zh-CN"/>
        </w:rPr>
        <w:t>0</w:t>
      </w:r>
      <w:r>
        <w:rPr>
          <w:rFonts w:hint="eastAsia" w:ascii="仿宋_GB2312" w:hAnsi="宋体" w:eastAsia="仿宋_GB2312"/>
          <w:sz w:val="32"/>
          <w:szCs w:val="32"/>
        </w:rPr>
        <w:t>等</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其中外事接待</w:t>
      </w:r>
      <w:r>
        <w:rPr>
          <w:rFonts w:hint="eastAsia" w:ascii="仿宋_GB2312" w:hAnsi="宋体" w:eastAsia="仿宋_GB2312"/>
          <w:sz w:val="32"/>
          <w:szCs w:val="32"/>
        </w:rPr>
        <w:t>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批次</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0</w:t>
      </w:r>
      <w:r>
        <w:rPr>
          <w:rFonts w:hint="eastAsia" w:ascii="仿宋_GB2312" w:hAnsi="宋体" w:eastAsia="仿宋_GB2312"/>
          <w:sz w:val="32"/>
          <w:szCs w:val="32"/>
        </w:rPr>
        <w:t>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2021</w:t>
      </w:r>
      <w:r>
        <w:rPr>
          <w:rFonts w:hint="eastAsia" w:ascii="仿宋_GB2312" w:hAnsi="宋体" w:eastAsia="仿宋_GB2312"/>
          <w:sz w:val="32"/>
          <w:szCs w:val="32"/>
        </w:rPr>
        <w:t>年公务接待费比上年</w:t>
      </w:r>
      <w:r>
        <w:rPr>
          <w:rFonts w:hint="eastAsia" w:ascii="仿宋_GB2312" w:hAnsi="宋体" w:eastAsia="仿宋_GB2312"/>
          <w:sz w:val="32"/>
          <w:szCs w:val="32"/>
          <w:lang w:val="en-US" w:eastAsia="zh-CN"/>
        </w:rPr>
        <w:t>一致无增减变化。</w:t>
      </w:r>
    </w:p>
    <w:p>
      <w:pPr>
        <w:spacing w:line="540" w:lineRule="exact"/>
        <w:ind w:firstLine="645"/>
        <w:rPr>
          <w:rFonts w:hint="eastAsia" w:ascii="仿宋_GB2312" w:hAnsi="宋体" w:eastAsia="仿宋_GB2312"/>
          <w:sz w:val="32"/>
          <w:szCs w:val="32"/>
          <w:lang w:val="en-US" w:eastAsia="zh-CN"/>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占</w:t>
      </w:r>
      <w:r>
        <w:rPr>
          <w:rFonts w:hint="eastAsia" w:ascii="仿宋_GB2312" w:hAnsi="宋体" w:eastAsia="仿宋_GB2312"/>
          <w:sz w:val="32"/>
          <w:szCs w:val="32"/>
        </w:rPr>
        <w:t>“三公”经费支出</w:t>
      </w:r>
      <w:r>
        <w:rPr>
          <w:rFonts w:hint="eastAsia" w:ascii="仿宋_GB2312" w:hAnsi="宋体" w:eastAsia="仿宋_GB2312"/>
          <w:sz w:val="32"/>
          <w:szCs w:val="32"/>
          <w:lang w:val="en-US" w:eastAsia="zh-CN"/>
        </w:rPr>
        <w:t>的0%。</w:t>
      </w:r>
      <w:r>
        <w:rPr>
          <w:rFonts w:hint="eastAsia" w:ascii="仿宋_GB2312" w:hAnsi="宋体" w:eastAsia="仿宋_GB2312"/>
          <w:sz w:val="32"/>
          <w:szCs w:val="32"/>
        </w:rPr>
        <w:t>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w:t>
      </w:r>
      <w:r>
        <w:rPr>
          <w:rFonts w:hint="eastAsia" w:ascii="仿宋_GB2312" w:hAnsi="宋体" w:eastAsia="仿宋_GB2312"/>
          <w:sz w:val="32"/>
          <w:szCs w:val="32"/>
          <w:lang w:eastAsia="zh-CN"/>
        </w:rPr>
        <w:t>2021</w:t>
      </w:r>
      <w:r>
        <w:rPr>
          <w:rFonts w:hint="eastAsia" w:ascii="仿宋_GB2312" w:hAnsi="宋体" w:eastAsia="仿宋_GB2312"/>
          <w:sz w:val="32"/>
          <w:szCs w:val="32"/>
        </w:rPr>
        <w:t>年公务用车购置及</w:t>
      </w:r>
      <w:r>
        <w:rPr>
          <w:rFonts w:ascii="仿宋_GB2312" w:hAnsi="宋体" w:eastAsia="仿宋_GB2312"/>
          <w:sz w:val="32"/>
          <w:szCs w:val="32"/>
        </w:rPr>
        <w:t>运行费</w:t>
      </w:r>
      <w:r>
        <w:rPr>
          <w:rFonts w:hint="eastAsia" w:ascii="仿宋_GB2312" w:hAnsi="宋体" w:eastAsia="仿宋_GB2312"/>
          <w:sz w:val="32"/>
          <w:szCs w:val="32"/>
        </w:rPr>
        <w:t>比上年</w:t>
      </w:r>
      <w:r>
        <w:rPr>
          <w:rFonts w:hint="eastAsia" w:ascii="仿宋_GB2312" w:hAnsi="宋体" w:eastAsia="仿宋_GB2312"/>
          <w:sz w:val="32"/>
          <w:szCs w:val="32"/>
          <w:lang w:val="en-US" w:eastAsia="zh-CN"/>
        </w:rPr>
        <w:t>一致无增减变化。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其中：</w:t>
      </w:r>
      <w:r>
        <w:rPr>
          <w:rFonts w:hint="eastAsia" w:ascii="仿宋_GB2312" w:hAnsi="宋体" w:eastAsia="仿宋_GB2312"/>
          <w:sz w:val="32"/>
          <w:szCs w:val="32"/>
        </w:rPr>
        <w:t>公务用车购置费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万元，主要用于等,当年购置公务用车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辆。公务用车运行维护费</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万元，主要用于等</w:t>
      </w:r>
      <w:r>
        <w:rPr>
          <w:rFonts w:hint="eastAsia" w:ascii="仿宋_GB2312" w:hAnsi="宋体" w:eastAsia="仿宋_GB2312"/>
          <w:sz w:val="32"/>
          <w:szCs w:val="32"/>
          <w:lang w:eastAsia="zh-CN"/>
        </w:rPr>
        <w:t>，</w:t>
      </w:r>
      <w:r>
        <w:rPr>
          <w:rFonts w:hint="eastAsia" w:ascii="仿宋_GB2312" w:hAnsi="宋体" w:eastAsia="仿宋_GB2312"/>
          <w:sz w:val="32"/>
          <w:szCs w:val="32"/>
        </w:rPr>
        <w:t>截至年末使用</w:t>
      </w:r>
      <w:r>
        <w:rPr>
          <w:rFonts w:ascii="仿宋_GB2312" w:hAnsi="宋体" w:eastAsia="仿宋_GB2312"/>
          <w:sz w:val="32"/>
          <w:szCs w:val="32"/>
        </w:rPr>
        <w:t>一般公共预算财政拨款开支</w:t>
      </w:r>
      <w:r>
        <w:rPr>
          <w:rFonts w:hint="eastAsia" w:ascii="仿宋_GB2312" w:hAnsi="宋体" w:eastAsia="仿宋_GB2312"/>
          <w:sz w:val="32"/>
          <w:szCs w:val="32"/>
          <w:lang w:val="en-US" w:eastAsia="zh-CN"/>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hAnsi="宋体" w:eastAsia="仿宋_GB2312"/>
          <w:sz w:val="32"/>
          <w:szCs w:val="32"/>
          <w:lang w:val="en-US" w:eastAsia="zh-CN"/>
        </w:rPr>
        <w:t>0</w:t>
      </w:r>
      <w:r>
        <w:rPr>
          <w:rFonts w:hint="eastAsia" w:ascii="仿宋_GB2312" w:hAnsi="宋体" w:eastAsia="仿宋_GB2312"/>
          <w:sz w:val="32"/>
          <w:szCs w:val="32"/>
        </w:rPr>
        <w:t>辆。</w:t>
      </w:r>
    </w:p>
    <w:p>
      <w:pPr>
        <w:spacing w:line="540" w:lineRule="exact"/>
        <w:ind w:firstLine="645"/>
        <w:rPr>
          <w:rFonts w:hint="eastAsia" w:ascii="黑体" w:hAnsi="黑体" w:eastAsia="黑体"/>
          <w:sz w:val="32"/>
          <w:szCs w:val="32"/>
        </w:rPr>
      </w:pPr>
      <w:r>
        <w:rPr>
          <w:rFonts w:hint="eastAsia" w:ascii="黑体" w:hAnsi="黑体" w:eastAsia="黑体"/>
          <w:sz w:val="32"/>
          <w:szCs w:val="32"/>
        </w:rPr>
        <w:t>四、一般公共预算财政拨款基本支出决算情况说明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年度一般公共预算财政拨款基本支出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万元，其中：人员经费</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万元，主要包括基本工资</w:t>
      </w:r>
      <w:r>
        <w:rPr>
          <w:rFonts w:hint="eastAsia" w:ascii="仿宋_GB2312" w:hAnsi="宋体" w:eastAsia="仿宋_GB2312"/>
          <w:sz w:val="32"/>
          <w:szCs w:val="32"/>
          <w:lang w:val="en-US" w:eastAsia="zh-CN"/>
        </w:rPr>
        <w:t>13</w:t>
      </w:r>
      <w:r>
        <w:rPr>
          <w:rFonts w:hint="eastAsia" w:ascii="仿宋_GB2312" w:hAnsi="宋体" w:eastAsia="仿宋_GB2312"/>
          <w:sz w:val="32"/>
          <w:szCs w:val="32"/>
        </w:rPr>
        <w:t>万元。</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五、其他重要事项的情况说明</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pPr>
        <w:spacing w:line="54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年机关运行经费支出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.与上年数、年初预算数一致。</w:t>
      </w:r>
      <w:bookmarkStart w:id="0" w:name="_GoBack"/>
      <w:bookmarkEnd w:id="0"/>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pPr>
        <w:spacing w:line="540" w:lineRule="exact"/>
        <w:ind w:firstLine="640" w:firstLineChars="200"/>
        <w:rPr>
          <w:rFonts w:hint="eastAsia" w:ascii="仿宋_GB2312" w:eastAsia="仿宋_GB2312"/>
          <w:sz w:val="32"/>
          <w:szCs w:val="32"/>
          <w:lang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年政府采购支出总额</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；货物采购授予中小企业合同金额占货物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；工程采购授予中小企业合同金额占货物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；服务采购授予中小企业合同金额占货物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2021</w:t>
      </w:r>
      <w:r>
        <w:rPr>
          <w:rFonts w:hint="eastAsia" w:ascii="仿宋_GB2312" w:hAnsi="黑体" w:eastAsia="仿宋_GB2312"/>
          <w:sz w:val="32"/>
          <w:szCs w:val="32"/>
        </w:rPr>
        <w:t>年12月31日，共有车辆</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辆，机要通讯用车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hAnsi="黑体" w:eastAsia="仿宋_GB2312"/>
          <w:sz w:val="32"/>
          <w:szCs w:val="32"/>
          <w:lang w:val="en-US" w:eastAsia="zh-CN"/>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辆；单位价值50万元以上通用设备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
      <w:pPr>
        <w:keepNext w:val="0"/>
        <w:keepLines w:val="0"/>
        <w:widowControl/>
        <w:numPr>
          <w:ilvl w:val="0"/>
          <w:numId w:val="2"/>
        </w:numPr>
        <w:suppressLineNumbers w:val="0"/>
        <w:spacing w:before="0" w:beforeAutospacing="0" w:after="0" w:afterAutospacing="0" w:line="540" w:lineRule="exact"/>
        <w:ind w:left="0" w:right="0" w:firstLine="643" w:firstLineChars="200"/>
        <w:jc w:val="left"/>
        <w:rPr>
          <w:rFonts w:ascii="楷体_GB2312" w:hAnsi="宋体" w:eastAsia="楷体_GB2312" w:cs="楷体_GB2312"/>
          <w:b/>
          <w:color w:val="auto"/>
          <w:kern w:val="2"/>
          <w:sz w:val="32"/>
          <w:szCs w:val="32"/>
          <w:highlight w:val="none"/>
          <w:shd w:val="clear" w:color="auto" w:fill="auto"/>
          <w:lang w:val="en-US" w:eastAsia="zh-CN" w:bidi="ar"/>
        </w:rPr>
      </w:pPr>
      <w:r>
        <w:rPr>
          <w:rFonts w:ascii="楷体_GB2312" w:hAnsi="宋体" w:eastAsia="楷体_GB2312" w:cs="楷体_GB2312"/>
          <w:b/>
          <w:color w:val="auto"/>
          <w:kern w:val="2"/>
          <w:sz w:val="32"/>
          <w:szCs w:val="32"/>
          <w:highlight w:val="none"/>
          <w:shd w:val="clear" w:color="auto" w:fill="auto"/>
          <w:lang w:val="en-US" w:eastAsia="zh-CN" w:bidi="ar"/>
        </w:rPr>
        <w:t>预算绩效情况。</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二级预算单位，绩效考评并入卫健局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7.</w:t>
      </w:r>
      <w:r>
        <w:rPr>
          <w:rFonts w:hint="eastAsia" w:ascii="仿宋_GB2312" w:eastAsia="仿宋_GB2312"/>
          <w:b/>
          <w:sz w:val="32"/>
          <w:szCs w:val="32"/>
          <w:lang w:val="en-US" w:eastAsia="zh-CN"/>
        </w:rPr>
        <w:t>使用非财政拨款结余</w:t>
      </w:r>
      <w:r>
        <w:rPr>
          <w:rFonts w:hint="eastAsia" w:ascii="仿宋_GB2312" w:eastAsia="仿宋_GB2312"/>
          <w:b/>
          <w:sz w:val="32"/>
          <w:szCs w:val="32"/>
        </w:rPr>
        <w:t>：</w:t>
      </w:r>
      <w:r>
        <w:rPr>
          <w:rFonts w:hint="eastAsia" w:ascii="仿宋_GB2312" w:eastAsia="仿宋_GB2312"/>
          <w:sz w:val="32"/>
          <w:szCs w:val="32"/>
        </w:rPr>
        <w:t>指事业单位</w:t>
      </w:r>
      <w:r>
        <w:rPr>
          <w:rFonts w:hint="eastAsia" w:ascii="仿宋_GB2312" w:eastAsia="仿宋_GB2312"/>
          <w:sz w:val="32"/>
          <w:szCs w:val="32"/>
          <w:lang w:val="en-US" w:eastAsia="zh-CN"/>
        </w:rPr>
        <w:t>按照预算管理要求使用非财政拨款结余弥补收支差额的金额</w:t>
      </w:r>
      <w:r>
        <w:rPr>
          <w:rFonts w:hint="eastAsia" w:ascii="仿宋_GB2312" w:eastAsia="仿宋_GB2312"/>
          <w:sz w:val="32"/>
          <w:szCs w:val="32"/>
        </w:rPr>
        <w:t>。</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w:t>
      </w:r>
      <w:r>
        <w:rPr>
          <w:rFonts w:hint="eastAsia" w:ascii="仿宋_GB2312" w:eastAsia="仿宋_GB2312"/>
          <w:sz w:val="32"/>
          <w:szCs w:val="32"/>
          <w:lang w:val="en-US" w:eastAsia="zh-CN"/>
        </w:rPr>
        <w:t>一般公共预算</w:t>
      </w:r>
      <w:r>
        <w:rPr>
          <w:rFonts w:hint="eastAsia" w:ascii="仿宋_GB2312" w:eastAsia="仿宋_GB2312"/>
          <w:sz w:val="32"/>
          <w:szCs w:val="32"/>
        </w:rPr>
        <w:t>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15.机关运行经费：</w:t>
      </w:r>
      <w:r>
        <w:rPr>
          <w:rFonts w:hint="eastAsia" w:ascii="仿宋_GB2312" w:eastAsia="仿宋_GB2312"/>
          <w:sz w:val="32"/>
          <w:szCs w:val="32"/>
          <w:lang w:val="en-US" w:eastAsia="zh-CN"/>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6</w:t>
      </w:r>
      <w:r>
        <w:rPr>
          <w:rFonts w:hint="eastAsia" w:ascii="仿宋_GB2312" w:eastAsia="仿宋_GB2312"/>
          <w:b/>
          <w:sz w:val="32"/>
          <w:szCs w:val="32"/>
        </w:rPr>
        <w:t>.一般公共服务（类）财政事务（款）行政运行（项）：</w:t>
      </w:r>
      <w:r>
        <w:rPr>
          <w:rFonts w:hint="eastAsia" w:ascii="仿宋_GB2312" w:eastAsia="仿宋_GB2312"/>
          <w:sz w:val="32"/>
          <w:szCs w:val="32"/>
        </w:rPr>
        <w:t>反映行政单位（包括实行公务员管理的事业单位）的基本支出。</w:t>
      </w:r>
    </w:p>
    <w:p>
      <w:pPr>
        <w:spacing w:line="540" w:lineRule="exact"/>
        <w:ind w:firstLine="640" w:firstLineChars="200"/>
        <w:rPr>
          <w:rFonts w:hint="eastAsia" w:ascii="仿宋_GB2312" w:eastAsia="仿宋_GB2312"/>
          <w:b/>
          <w:sz w:val="32"/>
          <w:szCs w:val="32"/>
        </w:rPr>
      </w:pPr>
      <w:r>
        <w:rPr>
          <w:rFonts w:hint="eastAsia" w:ascii="仿宋_GB2312" w:eastAsia="仿宋_GB2312"/>
          <w:i/>
          <w:sz w:val="32"/>
          <w:szCs w:val="32"/>
          <w:u w:val="single"/>
        </w:rPr>
        <w:t>（部门决算涉及的支出功能分类全部项级科目，逐一解释）……</w:t>
      </w:r>
    </w:p>
    <w:p>
      <w:pPr>
        <w:spacing w:line="540" w:lineRule="exact"/>
        <w:rPr>
          <w:sz w:val="32"/>
          <w:szCs w:val="32"/>
        </w:rPr>
        <w:sectPr>
          <w:footerReference r:id="rId3" w:type="default"/>
          <w:footerReference r:id="rId4" w:type="even"/>
          <w:pgSz w:w="11906" w:h="16838"/>
          <w:pgMar w:top="1701" w:right="1417" w:bottom="1701" w:left="1417" w:header="851" w:footer="992" w:gutter="0"/>
          <w:cols w:space="720" w:num="1"/>
          <w:docGrid w:type="lines" w:linePitch="312" w:charSpace="0"/>
        </w:sectPr>
      </w:pPr>
    </w:p>
    <w:p/>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仿宋_GB2312" w:eastAsia="仿宋_GB2312"/>
          <w:sz w:val="52"/>
          <w:szCs w:val="52"/>
        </w:rPr>
      </w:pPr>
      <w:r>
        <w:rPr>
          <w:rFonts w:hint="eastAsia" w:ascii="宋体" w:hAnsi="宋体"/>
          <w:b/>
          <w:sz w:val="52"/>
          <w:szCs w:val="52"/>
        </w:rPr>
        <w:t xml:space="preserve">第四部分 </w:t>
      </w:r>
      <w:r>
        <w:rPr>
          <w:rFonts w:hint="eastAsia" w:ascii="宋体" w:hAnsi="宋体"/>
          <w:b/>
          <w:sz w:val="52"/>
          <w:szCs w:val="52"/>
          <w:lang w:eastAsia="zh-CN"/>
        </w:rPr>
        <w:t>2021</w:t>
      </w:r>
      <w:r>
        <w:rPr>
          <w:rFonts w:hint="eastAsia" w:ascii="宋体" w:hAnsi="宋体"/>
          <w:b/>
          <w:sz w:val="52"/>
          <w:szCs w:val="52"/>
        </w:rPr>
        <w:t>年度部门决算表</w:t>
      </w:r>
    </w:p>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31"/>
        <w:gridCol w:w="479"/>
        <w:gridCol w:w="610"/>
        <w:gridCol w:w="2187"/>
        <w:gridCol w:w="479"/>
        <w:gridCol w:w="1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125" w:type="pct"/>
            <w:tcBorders>
              <w:top w:val="nil"/>
              <w:left w:val="nil"/>
              <w:bottom w:val="nil"/>
              <w:right w:val="nil"/>
            </w:tcBorders>
            <w:shd w:val="clear" w:color="auto" w:fill="auto"/>
            <w:noWrap/>
            <w:vAlign w:val="bottom"/>
          </w:tcPr>
          <w:p>
            <w:pPr>
              <w:rPr>
                <w:rFonts w:hint="eastAsia" w:ascii="Arial" w:hAnsi="Arial" w:cs="Arial"/>
                <w:i w:val="0"/>
                <w:iCs w:val="0"/>
                <w:color w:val="000000"/>
                <w:sz w:val="15"/>
                <w:szCs w:val="15"/>
                <w:u w:val="none"/>
              </w:rPr>
            </w:pP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343"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1379"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6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12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部门：辽宁省本溪市明山区东兴街道东兴社区卫生服务中心</w:t>
            </w: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343"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1379"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5"/>
                <w:szCs w:val="15"/>
                <w:u w:val="none"/>
              </w:rPr>
            </w:pPr>
          </w:p>
        </w:tc>
        <w:tc>
          <w:tcPr>
            <w:tcW w:w="6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725"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收入</w:t>
            </w:r>
          </w:p>
        </w:tc>
        <w:tc>
          <w:tcPr>
            <w:tcW w:w="2274" w:type="pct"/>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行次</w:t>
            </w:r>
          </w:p>
        </w:tc>
        <w:tc>
          <w:tcPr>
            <w:tcW w:w="3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金额</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行次</w:t>
            </w:r>
          </w:p>
        </w:tc>
        <w:tc>
          <w:tcPr>
            <w:tcW w:w="6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栏次</w:t>
            </w:r>
          </w:p>
        </w:tc>
        <w:tc>
          <w:tcPr>
            <w:tcW w:w="256"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5"/>
                <w:szCs w:val="15"/>
                <w:u w:val="none"/>
              </w:rPr>
            </w:pPr>
          </w:p>
        </w:tc>
        <w:tc>
          <w:tcPr>
            <w:tcW w:w="3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栏次</w:t>
            </w:r>
          </w:p>
        </w:tc>
        <w:tc>
          <w:tcPr>
            <w:tcW w:w="256"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5"/>
                <w:szCs w:val="15"/>
                <w:u w:val="none"/>
              </w:rPr>
            </w:pPr>
          </w:p>
        </w:tc>
        <w:tc>
          <w:tcPr>
            <w:tcW w:w="6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一、一般公共预算财政拨款收入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13.00</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一、一般公共服务支出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二、政府性基金预算财政拨款收入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二、外交支出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33</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三、国有资本经营预算财政拨款收入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三、国防支出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四、上级补助收入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四、公共安全支出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35</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五、事业收入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283.19</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五、教育支出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36</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六、经营收入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六、科学技术支出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七、附属单位上缴收入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七、文化旅游体育与传媒支出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38</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八、其他收入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八、社会保障和就业支出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39</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九、卫生健康支出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40</w:t>
            </w:r>
          </w:p>
        </w:tc>
        <w:tc>
          <w:tcPr>
            <w:tcW w:w="6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十、节能环保支出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十一、城乡社区支出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十二、农林水支出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十三、交通运输支出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44</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十四、资源勘探工业信息等支出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十五、商业服务业等支出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46</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十六、金融支出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十七、援助其他地区支出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十八、自然资源海洋气象等支出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十九、住房保障支出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二十、粮油物资储备支出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51</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二十一、国有资本经营预算支出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52</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二十二、灾害防治及应急管理支出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53</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二十三、其他支出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54</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二十四、债务还本支出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55</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二十五、债务付息支出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56</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二十六、抗疫特别国债安排的支出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本年收入合计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296.19</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本年支出合计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58</w:t>
            </w:r>
          </w:p>
        </w:tc>
        <w:tc>
          <w:tcPr>
            <w:tcW w:w="6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使用非财政拨款结余</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结余分配</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59</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年初结转和结余</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年末结转和结余</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5"/>
                <w:szCs w:val="15"/>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5"/>
                <w:szCs w:val="15"/>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61</w:t>
            </w:r>
          </w:p>
        </w:tc>
        <w:tc>
          <w:tcPr>
            <w:tcW w:w="63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总计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296.19</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总计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62</w:t>
            </w:r>
          </w:p>
        </w:tc>
        <w:tc>
          <w:tcPr>
            <w:tcW w:w="6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296.19</w:t>
            </w:r>
          </w:p>
        </w:tc>
      </w:tr>
    </w:tbl>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93"/>
        <w:gridCol w:w="221"/>
        <w:gridCol w:w="221"/>
        <w:gridCol w:w="1246"/>
        <w:gridCol w:w="563"/>
        <w:gridCol w:w="505"/>
        <w:gridCol w:w="330"/>
        <w:gridCol w:w="563"/>
        <w:gridCol w:w="331"/>
        <w:gridCol w:w="331"/>
        <w:gridCol w:w="1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53"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5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8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53"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5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8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08"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2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28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w:t>
            </w:r>
          </w:p>
        </w:tc>
        <w:tc>
          <w:tcPr>
            <w:tcW w:w="15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上级补助收入</w:t>
            </w:r>
          </w:p>
        </w:tc>
        <w:tc>
          <w:tcPr>
            <w:tcW w:w="32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事业收入</w:t>
            </w:r>
          </w:p>
        </w:tc>
        <w:tc>
          <w:tcPr>
            <w:tcW w:w="16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经营收入</w:t>
            </w:r>
          </w:p>
        </w:tc>
        <w:tc>
          <w:tcPr>
            <w:tcW w:w="16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附属单位上缴收入</w:t>
            </w:r>
          </w:p>
        </w:tc>
        <w:tc>
          <w:tcPr>
            <w:tcW w:w="58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79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2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5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8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9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5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8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9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5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8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0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2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28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5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2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6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16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58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0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296.19</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283.19</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296.19</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283.19</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296.19</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283.19</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296.19</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283.19</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55"/>
        <w:gridCol w:w="222"/>
        <w:gridCol w:w="222"/>
        <w:gridCol w:w="1303"/>
        <w:gridCol w:w="582"/>
        <w:gridCol w:w="582"/>
        <w:gridCol w:w="521"/>
        <w:gridCol w:w="337"/>
        <w:gridCol w:w="33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22"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9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0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22"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9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0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104"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3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33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29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1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上缴上级支出</w:t>
            </w:r>
          </w:p>
        </w:tc>
        <w:tc>
          <w:tcPr>
            <w:tcW w:w="1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经营支出</w:t>
            </w:r>
          </w:p>
        </w:tc>
        <w:tc>
          <w:tcPr>
            <w:tcW w:w="60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83"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821"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0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283"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21"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0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283"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21"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0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1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3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3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29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0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1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296.19</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244.43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51.76</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8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296.19</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244.43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51.76</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8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296.19</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244.43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51.76</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8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296.19</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244.43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51.76</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p/>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40"/>
        <w:gridCol w:w="328"/>
        <w:gridCol w:w="497"/>
        <w:gridCol w:w="1903"/>
        <w:gridCol w:w="328"/>
        <w:gridCol w:w="497"/>
        <w:gridCol w:w="497"/>
        <w:gridCol w:w="328"/>
        <w:gridCol w:w="1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87"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1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3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0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4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87"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1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3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0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4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192"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     入</w:t>
            </w:r>
          </w:p>
        </w:tc>
        <w:tc>
          <w:tcPr>
            <w:tcW w:w="2807"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43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11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238"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3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w:t>
            </w:r>
          </w:p>
        </w:tc>
        <w:tc>
          <w:tcPr>
            <w:tcW w:w="30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w:t>
            </w:r>
          </w:p>
        </w:tc>
        <w:tc>
          <w:tcPr>
            <w:tcW w:w="54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11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38"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3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0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4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23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3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0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54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年初财政拨款结转和结余</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年末财政拨款结转和结余</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一般公共预算财政拨款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政府性基金预算财政拨款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国有资本经营预算财政拨款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55"/>
        <w:gridCol w:w="222"/>
        <w:gridCol w:w="222"/>
        <w:gridCol w:w="1645"/>
        <w:gridCol w:w="579"/>
        <w:gridCol w:w="579"/>
        <w:gridCol w:w="1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79"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6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1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79"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6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1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604"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395"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39"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965"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4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34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71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26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6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1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6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1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6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4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1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6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96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96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96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1"/>
        <w:gridCol w:w="1164"/>
        <w:gridCol w:w="660"/>
        <w:gridCol w:w="840"/>
        <w:gridCol w:w="984"/>
        <w:gridCol w:w="636"/>
        <w:gridCol w:w="792"/>
        <w:gridCol w:w="1187"/>
        <w:gridCol w:w="7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80"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68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8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9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7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7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6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9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4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8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68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8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9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7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7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6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9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4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950"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w:t>
            </w:r>
          </w:p>
        </w:tc>
        <w:tc>
          <w:tcPr>
            <w:tcW w:w="3049"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68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8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49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57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7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46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69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4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8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8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9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7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7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6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9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4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工资福利支出</w:t>
            </w:r>
          </w:p>
        </w:tc>
        <w:tc>
          <w:tcPr>
            <w:tcW w:w="3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商品和服务支出</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债务利息及费用支出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30101</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基本工资</w:t>
            </w:r>
          </w:p>
        </w:tc>
        <w:tc>
          <w:tcPr>
            <w:tcW w:w="3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30201</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30701</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国内债务付息</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津贴补贴</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30202</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印刷费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30702</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国外债务付息</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奖金</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30203</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咨询费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资本性支出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30106</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伙食补助费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30204</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手续费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31001</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房屋建筑物购建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30107</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绩效工资</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30205</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水费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31002</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办公设备购置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30108</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机关事业单位基本养老保险缴费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30206</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电费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31003</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专用设备购置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30109</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职业年金缴费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30207</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邮电费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31005</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基础设施建设</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30110</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职工基本医疗保险缴费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30208</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取暖费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31006</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大型修缮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30111</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公务员医疗补助缴费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30209</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物业管理费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31007</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信息网络及软件购置更新</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其他社会保障缴费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30211</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差旅费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31008</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物资储备</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30113</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住房公积金</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30212</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因公出国（境）费用</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31009</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土地补偿</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30114</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30213</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维修（护）费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31010</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安置补助</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其他工资福利支出</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30214</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租赁费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31011</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地上附着物和青苗补偿</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对个人和家庭的补助</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30215</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会议费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31012</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拆迁补偿</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30301</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离休费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30216</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培训费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31013</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公务用车购置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30302</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退休费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30217</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公务接待费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31019</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其他交通工具购置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30303</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退职（役）费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30218</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专用材料费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31021</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文物和陈列品购置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30304</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抚恤金</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30224</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被装购置费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31022</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无形资产购置</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30305</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生活补助</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30225</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专用燃料费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31099</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其他资本性支出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30306</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救济费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30226</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劳务费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对企业补助</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30307</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医疗费补助</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30227</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委托业务费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31201</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资本金注入</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30308</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助学金</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30228</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工会经费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31203</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政府投资基金股权投资</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30309</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奖励金</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30229</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福利费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31204</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费用补贴</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30310</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个人农业生产补贴</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30231</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公务用车运行维护费</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31205</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利息补贴</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30311</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代缴社会保险费</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30239</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其他交通费用</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31299</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其他对企业补助</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30399</w:t>
            </w:r>
          </w:p>
        </w:tc>
        <w:tc>
          <w:tcPr>
            <w:tcW w:w="68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其他对个人和家庭的补助</w:t>
            </w: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30240</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税金及附加费用</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其他支出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8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30299</w:t>
            </w:r>
          </w:p>
        </w:tc>
        <w:tc>
          <w:tcPr>
            <w:tcW w:w="57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其他商品和服务支出</w:t>
            </w:r>
          </w:p>
        </w:tc>
        <w:tc>
          <w:tcPr>
            <w:tcW w:w="37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39906</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赠与</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8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57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7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39907</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国家赔偿费用支出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8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57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7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39908</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对民间非营利组织和群众性自治组织补贴</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8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8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8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57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37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6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39999</w:t>
            </w:r>
          </w:p>
        </w:tc>
        <w:tc>
          <w:tcPr>
            <w:tcW w:w="69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其他支出</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563"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人员经费合计</w:t>
            </w:r>
          </w:p>
        </w:tc>
        <w:tc>
          <w:tcPr>
            <w:tcW w:w="3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2604" w:type="pct"/>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公用经费合计</w:t>
            </w:r>
          </w:p>
        </w:tc>
        <w:tc>
          <w:tcPr>
            <w:tcW w:w="44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89"/>
        <w:gridCol w:w="966"/>
        <w:gridCol w:w="1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455"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56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7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45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部门名称:辽宁省本溪市明山区东兴街道东兴社区卫生服务中心</w:t>
            </w:r>
          </w:p>
        </w:tc>
        <w:tc>
          <w:tcPr>
            <w:tcW w:w="56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7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项    目</w:t>
            </w:r>
          </w:p>
        </w:tc>
        <w:tc>
          <w:tcPr>
            <w:tcW w:w="567"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预算数</w:t>
            </w:r>
          </w:p>
        </w:tc>
        <w:tc>
          <w:tcPr>
            <w:tcW w:w="977"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    计</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1、因公出国（境）费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2、公务接待费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3、公务用车购置及运行费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其中: （1）公务用车运行维护费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（2）公务用车购置费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6"/>
        <w:gridCol w:w="222"/>
        <w:gridCol w:w="222"/>
        <w:gridCol w:w="736"/>
        <w:gridCol w:w="507"/>
        <w:gridCol w:w="527"/>
        <w:gridCol w:w="528"/>
        <w:gridCol w:w="528"/>
        <w:gridCol w:w="530"/>
        <w:gridCol w:w="1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78"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78"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62"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2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32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w:t>
            </w:r>
          </w:p>
        </w:tc>
        <w:tc>
          <w:tcPr>
            <w:tcW w:w="967"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c>
          <w:tcPr>
            <w:tcW w:w="62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39"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42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3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3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62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762"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762"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8"/>
        <w:gridCol w:w="222"/>
        <w:gridCol w:w="222"/>
        <w:gridCol w:w="903"/>
        <w:gridCol w:w="668"/>
        <w:gridCol w:w="619"/>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616"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616"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部门：辽宁省本溪市明山区东兴街道东兴社区卫生服务中心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6"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593"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76"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52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9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6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8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76"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9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6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76"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9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6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6"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6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8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6"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83DAF"/>
    <w:multiLevelType w:val="singleLevel"/>
    <w:tmpl w:val="C9383DAF"/>
    <w:lvl w:ilvl="0" w:tentative="0">
      <w:start w:val="1"/>
      <w:numFmt w:val="chineseCounting"/>
      <w:suff w:val="nothing"/>
      <w:lvlText w:val="%1、"/>
      <w:lvlJc w:val="left"/>
      <w:rPr>
        <w:rFonts w:hint="eastAsia"/>
      </w:rPr>
    </w:lvl>
  </w:abstractNum>
  <w:abstractNum w:abstractNumId="1">
    <w:nsid w:val="7E4576A7"/>
    <w:multiLevelType w:val="singleLevel"/>
    <w:tmpl w:val="7E4576A7"/>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ZDIwYmNlNDhhNjgzNGI5NDRlMjZiNjc4ZTAxYjMifQ=="/>
  </w:docVars>
  <w:rsids>
    <w:rsidRoot w:val="6F9105CA"/>
    <w:rsid w:val="0AF07258"/>
    <w:rsid w:val="2FF3754B"/>
    <w:rsid w:val="3E3647B7"/>
    <w:rsid w:val="408C078A"/>
    <w:rsid w:val="40946AAC"/>
    <w:rsid w:val="4B0D262A"/>
    <w:rsid w:val="61B57629"/>
    <w:rsid w:val="6F9105CA"/>
    <w:rsid w:val="70C73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5069</Words>
  <Characters>5970</Characters>
  <Lines>0</Lines>
  <Paragraphs>0</Paragraphs>
  <TotalTime>1</TotalTime>
  <ScaleCrop>false</ScaleCrop>
  <LinksUpToDate>false</LinksUpToDate>
  <CharactersWithSpaces>6165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2022-09-20T02:10:00Z</dcterms:created>
  <dc:creator>Administrator</dc:creator>
  <cp:lastModifiedBy>Administrator</cp:lastModifiedBy>
  <dcterms:modified xsi:type="dcterms:W3CDTF">2023-03-30T08:23:03Z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3C1A6356889D47BEB54BD70C16FF5221</vt:lpwstr>
  </property>
</Properties>
</file>