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宋体" w:hAnsi="宋体"/>
          <w:b/>
          <w:sz w:val="36"/>
          <w:szCs w:val="36"/>
          <w:lang w:eastAsia="zh-CN"/>
        </w:rPr>
      </w:pPr>
      <w:r>
        <w:rPr>
          <w:rFonts w:hint="eastAsia" w:ascii="宋体" w:hAnsi="宋体"/>
          <w:b/>
          <w:sz w:val="36"/>
          <w:szCs w:val="36"/>
          <w:lang w:eastAsia="zh-CN"/>
        </w:rPr>
        <w:t>明山区北地街道北地社区卫生服务中心</w:t>
      </w:r>
    </w:p>
    <w:p>
      <w:pPr>
        <w:spacing w:line="540" w:lineRule="exact"/>
        <w:jc w:val="center"/>
        <w:rPr>
          <w:rFonts w:hint="eastAsia" w:ascii="宋体" w:hAnsi="宋体"/>
          <w:b/>
          <w:sz w:val="36"/>
          <w:szCs w:val="36"/>
          <w:lang w:eastAsia="zh-CN"/>
        </w:rPr>
      </w:pPr>
      <w:r>
        <w:rPr>
          <w:rFonts w:hint="eastAsia" w:ascii="宋体" w:hAnsi="宋体"/>
          <w:b/>
          <w:sz w:val="52"/>
          <w:szCs w:val="52"/>
          <w:lang w:eastAsia="zh-CN"/>
        </w:rPr>
        <w:t>2021</w:t>
      </w:r>
      <w:r>
        <w:rPr>
          <w:rFonts w:hint="eastAsia" w:ascii="宋体" w:hAnsi="宋体"/>
          <w:b/>
          <w:sz w:val="52"/>
          <w:szCs w:val="52"/>
        </w:rPr>
        <w:t>年度部门决算</w:t>
      </w: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部门</w:t>
      </w:r>
      <w:r>
        <w:rPr>
          <w:rFonts w:hint="eastAsia" w:ascii="宋体" w:hAnsi="宋体"/>
          <w:b/>
          <w:sz w:val="36"/>
          <w:szCs w:val="36"/>
        </w:rPr>
        <w:t>概况</w:t>
      </w:r>
    </w:p>
    <w:p>
      <w:pPr>
        <w:spacing w:line="540" w:lineRule="exact"/>
        <w:ind w:firstLine="640" w:firstLineChars="200"/>
        <w:jc w:val="left"/>
        <w:rPr>
          <w:rFonts w:hint="eastAsia" w:ascii="黑体" w:eastAsia="黑体"/>
          <w:sz w:val="32"/>
          <w:szCs w:val="32"/>
        </w:rPr>
      </w:pPr>
    </w:p>
    <w:p>
      <w:pPr>
        <w:tabs>
          <w:tab w:val="left" w:pos="1318"/>
        </w:tabs>
        <w:rPr>
          <w:rFonts w:hint="eastAsia"/>
          <w:b/>
          <w:sz w:val="32"/>
          <w:szCs w:val="32"/>
        </w:rPr>
      </w:pPr>
      <w:r>
        <w:rPr>
          <w:rFonts w:hint="eastAsia" w:ascii="黑体" w:eastAsia="黑体"/>
          <w:sz w:val="32"/>
          <w:szCs w:val="32"/>
        </w:rPr>
        <w:t>一、主要职责</w:t>
      </w:r>
      <w:r>
        <w:rPr>
          <w:rFonts w:hint="eastAsia"/>
          <w:b/>
          <w:sz w:val="32"/>
          <w:szCs w:val="32"/>
        </w:rPr>
        <w:t>（一）基本情况</w:t>
      </w:r>
    </w:p>
    <w:p>
      <w:pPr>
        <w:widowControl/>
        <w:spacing w:line="520" w:lineRule="atLeast"/>
        <w:ind w:firstLine="640"/>
        <w:rPr>
          <w:rFonts w:hint="eastAsia" w:ascii="宋体" w:hAnsi="宋体" w:eastAsia="宋体" w:cs="宋体"/>
          <w:b w:val="0"/>
          <w:bCs/>
          <w:sz w:val="30"/>
          <w:szCs w:val="30"/>
        </w:rPr>
      </w:pPr>
      <w:r>
        <w:rPr>
          <w:rFonts w:hint="eastAsia" w:ascii="宋体" w:hAnsi="宋体" w:eastAsia="宋体" w:cs="宋体"/>
          <w:b w:val="0"/>
          <w:bCs/>
          <w:sz w:val="30"/>
          <w:szCs w:val="30"/>
        </w:rPr>
        <w:t>一、主要职能：</w:t>
      </w:r>
      <w:r>
        <w:rPr>
          <w:rFonts w:hint="eastAsia" w:ascii="仿宋_GB2312" w:hAnsi="仿宋_GB2312" w:eastAsia="仿宋_GB2312"/>
          <w:sz w:val="32"/>
          <w:szCs w:val="32"/>
        </w:rPr>
        <w:t>预防保健科，全科医疗科，妇女保健科，儿童保健科，医学检验科，医学影像科，中医科，康复医学专业。</w:t>
      </w:r>
    </w:p>
    <w:p>
      <w:pPr>
        <w:spacing w:line="540" w:lineRule="exact"/>
        <w:ind w:firstLine="600" w:firstLineChars="200"/>
        <w:jc w:val="left"/>
        <w:rPr>
          <w:rFonts w:hint="eastAsia" w:ascii="仿宋_GB2312" w:hAnsi="仿宋_GB2312" w:eastAsia="仿宋_GB2312"/>
          <w:sz w:val="32"/>
          <w:szCs w:val="32"/>
        </w:rPr>
      </w:pPr>
      <w:r>
        <w:rPr>
          <w:rFonts w:hint="eastAsia" w:ascii="宋体" w:hAnsi="宋体" w:eastAsia="宋体" w:cs="宋体"/>
          <w:b w:val="0"/>
          <w:bCs/>
          <w:sz w:val="30"/>
          <w:szCs w:val="30"/>
        </w:rPr>
        <w:t>二、人员情况：</w:t>
      </w:r>
      <w:r>
        <w:rPr>
          <w:rFonts w:hint="eastAsia" w:ascii="仿宋_GB2312" w:hAnsi="仿宋_GB2312" w:eastAsia="仿宋_GB2312"/>
          <w:sz w:val="32"/>
          <w:szCs w:val="32"/>
        </w:rPr>
        <w:t>截止12月，在职1</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人。其中工人岗2人，管理岗1人，专业技术1</w:t>
      </w: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人，退休职工3</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人。外聘临时工2</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人。对比201</w:t>
      </w:r>
      <w:r>
        <w:rPr>
          <w:rFonts w:hint="eastAsia" w:ascii="仿宋_GB2312" w:hAnsi="仿宋_GB2312" w:eastAsia="仿宋_GB2312"/>
          <w:sz w:val="32"/>
          <w:szCs w:val="32"/>
          <w:lang w:val="en-US" w:eastAsia="zh-CN"/>
        </w:rPr>
        <w:t>9</w:t>
      </w:r>
      <w:r>
        <w:rPr>
          <w:rFonts w:hint="eastAsia" w:ascii="仿宋_GB2312" w:hAnsi="仿宋_GB2312" w:eastAsia="仿宋_GB2312"/>
          <w:sz w:val="32"/>
          <w:szCs w:val="32"/>
        </w:rPr>
        <w:t>年发生的变化：当年退休</w:t>
      </w: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人为专业技术</w:t>
      </w:r>
    </w:p>
    <w:p>
      <w:pPr>
        <w:spacing w:line="540" w:lineRule="exact"/>
        <w:jc w:val="left"/>
        <w:rPr>
          <w:rFonts w:hint="eastAsia" w:ascii="黑体" w:eastAsia="黑体"/>
          <w:sz w:val="32"/>
          <w:szCs w:val="32"/>
        </w:rPr>
      </w:pPr>
      <w:r>
        <w:rPr>
          <w:rFonts w:hint="eastAsia" w:ascii="黑体" w:eastAsia="黑体"/>
          <w:sz w:val="32"/>
          <w:szCs w:val="32"/>
        </w:rPr>
        <w:t>二、部门决算单位构成</w:t>
      </w:r>
    </w:p>
    <w:p>
      <w:pPr>
        <w:spacing w:line="540" w:lineRule="exact"/>
        <w:jc w:val="left"/>
        <w:rPr>
          <w:rFonts w:hint="eastAsia" w:ascii="仿宋" w:hAnsi="仿宋" w:eastAsia="仿宋" w:cs="仿宋"/>
          <w:sz w:val="32"/>
          <w:szCs w:val="32"/>
          <w:lang w:val="en-US" w:eastAsia="zh-CN"/>
        </w:rPr>
      </w:pPr>
      <w:r>
        <w:rPr>
          <w:rFonts w:hint="eastAsia" w:ascii="仿宋" w:hAnsi="仿宋" w:eastAsia="仿宋" w:cs="仿宋"/>
          <w:sz w:val="32"/>
          <w:szCs w:val="32"/>
        </w:rPr>
        <w:t>纳入本部门决算汇编范围的独立核算单位共</w:t>
      </w:r>
      <w:r>
        <w:rPr>
          <w:rFonts w:hint="eastAsia" w:ascii="仿宋" w:hAnsi="仿宋" w:eastAsia="仿宋" w:cs="仿宋"/>
          <w:sz w:val="32"/>
          <w:szCs w:val="32"/>
          <w:u w:val="none"/>
        </w:rPr>
        <w:t>1</w:t>
      </w:r>
      <w:r>
        <w:rPr>
          <w:rFonts w:hint="eastAsia" w:ascii="仿宋" w:hAnsi="仿宋" w:eastAsia="仿宋" w:cs="仿宋"/>
          <w:sz w:val="32"/>
          <w:szCs w:val="32"/>
        </w:rPr>
        <w:t>个</w:t>
      </w:r>
      <w:r>
        <w:rPr>
          <w:rFonts w:hint="eastAsia" w:ascii="仿宋" w:hAnsi="仿宋" w:eastAsia="仿宋" w:cs="仿宋"/>
          <w:sz w:val="32"/>
          <w:szCs w:val="32"/>
          <w:lang w:val="en-US" w:eastAsia="zh-CN"/>
        </w:rPr>
        <w:t>.</w:t>
      </w:r>
    </w:p>
    <w:p>
      <w:pPr>
        <w:spacing w:line="540" w:lineRule="exact"/>
        <w:ind w:firstLine="640" w:firstLineChars="200"/>
        <w:jc w:val="left"/>
        <w:rPr>
          <w:rFonts w:hint="eastAsia" w:ascii="仿宋_GB2312" w:hAnsi="仿宋_GB2312" w:eastAsia="仿宋_GB2312"/>
          <w:sz w:val="32"/>
          <w:szCs w:val="32"/>
        </w:rPr>
      </w:pPr>
    </w:p>
    <w:p>
      <w:pPr>
        <w:spacing w:line="540" w:lineRule="exact"/>
        <w:ind w:firstLine="723" w:firstLineChars="200"/>
        <w:jc w:val="center"/>
        <w:rPr>
          <w:rFonts w:hint="eastAsia" w:ascii="宋体" w:hAnsi="宋体"/>
          <w:b/>
          <w:sz w:val="36"/>
          <w:szCs w:val="36"/>
        </w:rPr>
      </w:pPr>
      <w:r>
        <w:rPr>
          <w:rFonts w:hint="eastAsia" w:ascii="宋体" w:hAnsi="宋体"/>
          <w:b/>
          <w:sz w:val="36"/>
          <w:szCs w:val="36"/>
        </w:rPr>
        <w:t>第</w:t>
      </w:r>
      <w:r>
        <w:rPr>
          <w:rFonts w:hint="eastAsia" w:ascii="宋体" w:hAnsi="宋体"/>
          <w:b/>
          <w:sz w:val="36"/>
          <w:szCs w:val="36"/>
          <w:lang w:val="en-US" w:eastAsia="zh-CN"/>
        </w:rPr>
        <w:t>二</w:t>
      </w:r>
      <w:r>
        <w:rPr>
          <w:rFonts w:hint="eastAsia" w:ascii="宋体" w:hAnsi="宋体"/>
          <w:b/>
          <w:sz w:val="36"/>
          <w:szCs w:val="36"/>
        </w:rPr>
        <w:t>部分 部门决算情况说明</w:t>
      </w:r>
    </w:p>
    <w:p>
      <w:pPr>
        <w:spacing w:line="540" w:lineRule="exact"/>
        <w:rPr>
          <w:rFonts w:hint="eastAsia" w:ascii="宋体" w:hAnsi="宋体"/>
          <w:b/>
          <w:sz w:val="36"/>
          <w:szCs w:val="36"/>
        </w:rPr>
      </w:pPr>
    </w:p>
    <w:p>
      <w:pPr>
        <w:spacing w:line="540" w:lineRule="exact"/>
        <w:ind w:firstLine="627" w:firstLineChars="196"/>
        <w:rPr>
          <w:rFonts w:hint="eastAsia" w:ascii="黑体" w:hAnsi="黑体" w:eastAsia="黑体"/>
          <w:sz w:val="32"/>
          <w:szCs w:val="32"/>
          <w:lang w:eastAsia="zh-CN"/>
        </w:rPr>
      </w:pPr>
      <w:r>
        <w:rPr>
          <w:rFonts w:hint="eastAsia" w:ascii="黑体" w:hAnsi="黑体" w:eastAsia="黑体"/>
          <w:sz w:val="32"/>
          <w:szCs w:val="32"/>
        </w:rPr>
        <w:t>一、收入支出决算总体情况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420.04</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hAnsi="宋体" w:eastAsia="仿宋_GB2312"/>
          <w:sz w:val="32"/>
          <w:szCs w:val="32"/>
          <w:lang w:val="en-US" w:eastAsia="zh-CN"/>
        </w:rPr>
        <w:t>3.4</w:t>
      </w:r>
      <w:r>
        <w:rPr>
          <w:rFonts w:ascii="仿宋_GB2312" w:hAnsi="宋体" w:eastAsia="仿宋_GB2312"/>
          <w:sz w:val="32"/>
          <w:szCs w:val="32"/>
        </w:rPr>
        <w:t>%</w:t>
      </w:r>
      <w:r>
        <w:rPr>
          <w:rFonts w:hint="eastAsia" w:ascii="仿宋_GB2312" w:hAnsi="宋体" w:eastAsia="仿宋_GB2312"/>
          <w:sz w:val="32"/>
          <w:szCs w:val="32"/>
        </w:rPr>
        <w:t>。其中：</w:t>
      </w:r>
      <w:r>
        <w:rPr>
          <w:rFonts w:hint="eastAsia" w:ascii="仿宋_GB2312" w:hAnsi="宋体" w:eastAsia="仿宋_GB2312"/>
          <w:sz w:val="32"/>
          <w:szCs w:val="32"/>
          <w:lang w:val="en-US" w:eastAsia="zh-CN"/>
        </w:rPr>
        <w:t>一般</w:t>
      </w:r>
      <w:r>
        <w:rPr>
          <w:rFonts w:hint="eastAsia" w:ascii="仿宋_GB2312" w:hAnsi="宋体" w:eastAsia="仿宋_GB2312"/>
          <w:sz w:val="32"/>
          <w:szCs w:val="32"/>
        </w:rPr>
        <w:t>公共预算财政拨款收入</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万元，政府性基金收入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国有资本经营预算财政拨款收入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407.04</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96.9</w:t>
      </w:r>
      <w:r>
        <w:rPr>
          <w:rFonts w:hint="eastAsia" w:ascii="仿宋_GB2312" w:hAnsi="宋体" w:eastAsia="仿宋_GB2312"/>
          <w:sz w:val="32"/>
          <w:szCs w:val="32"/>
        </w:rPr>
        <w:t>%。主</w:t>
      </w:r>
      <w:r>
        <w:rPr>
          <w:rFonts w:hint="eastAsia" w:ascii="仿宋_GB2312" w:hAnsi="宋体" w:eastAsia="仿宋_GB2312"/>
          <w:sz w:val="32"/>
          <w:szCs w:val="32"/>
          <w:lang w:eastAsia="zh-CN"/>
        </w:rPr>
        <w:t>要是医疗</w:t>
      </w:r>
      <w:r>
        <w:rPr>
          <w:rFonts w:hint="eastAsia" w:ascii="仿宋_GB2312" w:hAnsi="宋体" w:eastAsia="仿宋_GB2312"/>
          <w:sz w:val="32"/>
          <w:szCs w:val="32"/>
        </w:rPr>
        <w:t>收入。</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val="en-US" w:eastAsia="zh-CN"/>
        </w:rPr>
        <w:t>使用非财政拨款结余0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与上年相比，今年收入</w:t>
      </w:r>
      <w:r>
        <w:rPr>
          <w:rFonts w:hint="eastAsia" w:ascii="仿宋_GB2312" w:hAnsi="宋体" w:eastAsia="仿宋_GB2312"/>
          <w:sz w:val="32"/>
          <w:szCs w:val="32"/>
          <w:lang w:val="en-US" w:eastAsia="zh-CN"/>
        </w:rPr>
        <w:t>增加144.65</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增长52.52</w:t>
      </w:r>
      <w:r>
        <w:rPr>
          <w:rFonts w:hint="eastAsia" w:ascii="仿宋_GB2312" w:hAnsi="宋体" w:eastAsia="仿宋_GB2312"/>
          <w:sz w:val="32"/>
          <w:szCs w:val="32"/>
        </w:rPr>
        <w:t>%，主要原因：</w:t>
      </w:r>
      <w:r>
        <w:rPr>
          <w:rFonts w:hint="eastAsia" w:ascii="仿宋_GB2312" w:hAnsi="宋体" w:eastAsia="仿宋_GB2312"/>
          <w:sz w:val="32"/>
          <w:szCs w:val="32"/>
          <w:lang w:val="en-US" w:eastAsia="zh-CN"/>
        </w:rPr>
        <w:t>事业收入增加</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420.04</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420.04</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%。主要是为保障机构正常运转、完成日常工作任务而发生的各项支出，其中：工资福利支出</w:t>
      </w:r>
      <w:r>
        <w:rPr>
          <w:rFonts w:hint="eastAsia" w:ascii="楷体_GB2312" w:hAnsi="宋体" w:eastAsia="楷体_GB2312"/>
          <w:b/>
          <w:sz w:val="32"/>
          <w:szCs w:val="32"/>
          <w:lang w:val="en-US" w:eastAsia="zh-CN"/>
        </w:rPr>
        <w:t>338.61</w:t>
      </w:r>
      <w:r>
        <w:rPr>
          <w:rFonts w:hint="eastAsia" w:ascii="仿宋_GB2312" w:hAnsi="宋体" w:eastAsia="仿宋_GB2312"/>
          <w:sz w:val="32"/>
          <w:szCs w:val="32"/>
        </w:rPr>
        <w:t>万元，商品和服务支出</w:t>
      </w:r>
      <w:r>
        <w:rPr>
          <w:rFonts w:hint="eastAsia" w:ascii="楷体_GB2312" w:hAnsi="宋体" w:eastAsia="楷体_GB2312"/>
          <w:b/>
          <w:sz w:val="32"/>
          <w:szCs w:val="32"/>
          <w:lang w:val="en-US" w:eastAsia="zh-CN"/>
        </w:rPr>
        <w:t>81.43</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 w:hAnsi="仿宋" w:eastAsia="仿宋" w:cs="仿宋"/>
          <w:sz w:val="32"/>
          <w:szCs w:val="32"/>
          <w:lang w:eastAsia="zh-CN"/>
        </w:rPr>
      </w:pPr>
      <w:r>
        <w:rPr>
          <w:rFonts w:hint="eastAsia" w:ascii="仿宋_GB2312" w:hAnsi="宋体" w:eastAsia="仿宋_GB2312"/>
          <w:sz w:val="32"/>
          <w:szCs w:val="32"/>
        </w:rPr>
        <w:t>与上年相比，今年支出</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144.65</w:t>
      </w:r>
      <w:r>
        <w:rPr>
          <w:rFonts w:hint="eastAsia" w:ascii="仿宋_GB2312" w:hAnsi="宋体" w:eastAsia="仿宋_GB2312"/>
          <w:sz w:val="32"/>
          <w:szCs w:val="32"/>
        </w:rPr>
        <w:t>万元，</w:t>
      </w:r>
      <w:r>
        <w:rPr>
          <w:rFonts w:hint="eastAsia" w:ascii="仿宋_GB2312" w:hAnsi="宋体" w:eastAsia="仿宋_GB2312"/>
          <w:sz w:val="32"/>
          <w:szCs w:val="32"/>
          <w:lang w:eastAsia="zh-CN"/>
        </w:rPr>
        <w:t>增长</w:t>
      </w:r>
      <w:r>
        <w:rPr>
          <w:rFonts w:hint="eastAsia" w:ascii="仿宋_GB2312" w:hAnsi="宋体" w:eastAsia="仿宋_GB2312"/>
          <w:sz w:val="32"/>
          <w:szCs w:val="32"/>
          <w:lang w:val="en-US" w:eastAsia="zh-CN"/>
        </w:rPr>
        <w:t>52.52%</w:t>
      </w:r>
      <w:r>
        <w:rPr>
          <w:rFonts w:hint="eastAsia" w:ascii="仿宋_GB2312" w:hAnsi="宋体" w:eastAsia="仿宋_GB2312"/>
          <w:sz w:val="32"/>
          <w:szCs w:val="32"/>
        </w:rPr>
        <w:t>，主要原因：</w:t>
      </w:r>
      <w:r>
        <w:rPr>
          <w:rFonts w:hint="eastAsia" w:ascii="仿宋_GB2312" w:hAnsi="宋体" w:eastAsia="仿宋_GB2312"/>
          <w:sz w:val="32"/>
          <w:szCs w:val="32"/>
          <w:lang w:eastAsia="zh-CN"/>
        </w:rPr>
        <w:t>业务量增加，费用增加</w:t>
      </w:r>
    </w:p>
    <w:p>
      <w:pPr>
        <w:spacing w:line="540" w:lineRule="exact"/>
        <w:ind w:firstLine="660"/>
        <w:rPr>
          <w:rFonts w:hint="default" w:ascii="楷体_GB2312" w:hAnsi="宋体" w:eastAsia="楷体_GB2312"/>
          <w:b/>
          <w:sz w:val="32"/>
          <w:szCs w:val="32"/>
          <w:lang w:val="en-US" w:eastAsia="zh-CN"/>
        </w:rPr>
      </w:pPr>
      <w:r>
        <w:rPr>
          <w:rFonts w:hint="eastAsia" w:ascii="楷体_GB2312" w:hAnsi="宋体" w:eastAsia="楷体_GB2312"/>
          <w:b/>
          <w:sz w:val="32"/>
          <w:szCs w:val="32"/>
        </w:rPr>
        <w:t>（三）年末结转和结余</w:t>
      </w:r>
      <w:r>
        <w:rPr>
          <w:rFonts w:hint="eastAsia" w:ascii="楷体_GB2312" w:hAnsi="宋体" w:eastAsia="楷体_GB2312"/>
          <w:b/>
          <w:sz w:val="32"/>
          <w:szCs w:val="32"/>
          <w:lang w:val="en-US" w:eastAsia="zh-CN"/>
        </w:rPr>
        <w:t>0</w:t>
      </w:r>
      <w:r>
        <w:rPr>
          <w:rFonts w:hint="eastAsia" w:ascii="楷体_GB2312" w:hAnsi="宋体" w:eastAsia="楷体_GB2312"/>
          <w:b/>
          <w:sz w:val="32"/>
          <w:szCs w:val="32"/>
        </w:rPr>
        <w:t>万元。</w:t>
      </w:r>
      <w:r>
        <w:rPr>
          <w:rFonts w:hint="eastAsia" w:ascii="楷体_GB2312" w:hAnsi="宋体" w:eastAsia="楷体_GB2312"/>
          <w:b/>
          <w:sz w:val="32"/>
          <w:szCs w:val="32"/>
          <w:lang w:val="en-US" w:eastAsia="zh-CN"/>
        </w:rPr>
        <w:t>与上年保持一致。</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二、财政拨款支出决算情况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年度财政拨款支出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元，其中：基本支出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万元，项目支出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37</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74%</w:t>
      </w:r>
      <w:r>
        <w:rPr>
          <w:rFonts w:hint="eastAsia" w:ascii="仿宋_GB2312" w:hAnsi="宋体" w:eastAsia="仿宋_GB2312"/>
          <w:sz w:val="32"/>
          <w:szCs w:val="32"/>
        </w:rPr>
        <w:t>主要原因：</w:t>
      </w:r>
      <w:r>
        <w:rPr>
          <w:rFonts w:hint="eastAsia" w:ascii="仿宋" w:hAnsi="仿宋" w:eastAsia="仿宋" w:cs="仿宋"/>
          <w:sz w:val="32"/>
          <w:szCs w:val="32"/>
          <w:lang w:eastAsia="zh-CN"/>
        </w:rPr>
        <w:t>财政拨款减少</w:t>
      </w:r>
      <w:r>
        <w:rPr>
          <w:rFonts w:hint="eastAsia" w:ascii="仿宋" w:hAnsi="仿宋" w:eastAsia="仿宋" w:cs="仿宋"/>
          <w:sz w:val="32"/>
          <w:szCs w:val="32"/>
          <w:lang w:val="en-US" w:eastAsia="zh-CN"/>
        </w:rPr>
        <w:t>.</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2021</w:t>
      </w:r>
      <w:r>
        <w:rPr>
          <w:rFonts w:hint="eastAsia" w:ascii="仿宋_GB2312" w:hAnsi="宋体" w:eastAsia="仿宋_GB2312"/>
          <w:sz w:val="32"/>
          <w:szCs w:val="32"/>
          <w:lang w:val="en-US" w:eastAsia="zh-CN"/>
        </w:rPr>
        <w:t>年度</w:t>
      </w:r>
      <w:r>
        <w:rPr>
          <w:rFonts w:hint="eastAsia" w:ascii="仿宋_GB2312" w:hAnsi="宋体" w:eastAsia="仿宋_GB2312"/>
          <w:sz w:val="32"/>
          <w:szCs w:val="32"/>
        </w:rPr>
        <w:t>财政拨款支出完成年初预算的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其中：基本支出完成年初预算的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，项目完成年初预算的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val="en-US" w:eastAsia="zh-CN"/>
        </w:rPr>
        <w:t>一般公共预算财政拨款支出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万元，按支出功能分类科目分，包括：</w:t>
      </w:r>
      <w:r>
        <w:rPr>
          <w:rFonts w:hint="eastAsia" w:ascii="仿宋_GB2312" w:hAnsi="宋体" w:eastAsia="仿宋_GB2312"/>
          <w:sz w:val="32"/>
          <w:szCs w:val="32"/>
          <w:lang w:eastAsia="zh-CN"/>
        </w:rPr>
        <w:t>基本支出</w:t>
      </w:r>
      <w:r>
        <w:rPr>
          <w:rFonts w:hint="eastAsia" w:ascii="仿宋_GB2312" w:hAnsi="宋体" w:eastAsia="仿宋_GB2312"/>
          <w:sz w:val="32"/>
          <w:szCs w:val="32"/>
          <w:lang w:val="en-US" w:eastAsia="zh-CN"/>
        </w:rPr>
        <w:t>13万,占</w:t>
      </w:r>
      <w:r>
        <w:rPr>
          <w:rFonts w:hint="eastAsia" w:ascii="仿宋_GB2312" w:hAnsi="宋体" w:eastAsia="仿宋_GB2312"/>
          <w:sz w:val="32"/>
          <w:szCs w:val="32"/>
        </w:rPr>
        <w:t>一般公共预算财政拨款支出</w:t>
      </w:r>
      <w:r>
        <w:rPr>
          <w:rFonts w:hint="eastAsia" w:ascii="仿宋_GB2312" w:hAnsi="宋体" w:eastAsia="仿宋_GB2312"/>
          <w:sz w:val="32"/>
          <w:szCs w:val="32"/>
          <w:lang w:eastAsia="zh-CN"/>
        </w:rPr>
        <w:t>的</w:t>
      </w:r>
      <w:r>
        <w:rPr>
          <w:rFonts w:hint="eastAsia" w:ascii="仿宋_GB2312" w:hAnsi="宋体" w:eastAsia="仿宋_GB2312"/>
          <w:sz w:val="32"/>
          <w:szCs w:val="32"/>
          <w:lang w:val="en-US" w:eastAsia="zh-CN"/>
        </w:rPr>
        <w:t>100%</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基本支出包括:人员经费中的基本工资支出13万元,占基本支出100%</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三</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政府性基金预算财政拨款支出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年度政府性基金预算财政拨款支出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四</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国有资本经营预算财政拨款支出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年度国有资本经营预算财政拨款支出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default" w:ascii="仿宋_GB2312" w:hAnsi="宋体" w:eastAsia="仿宋_GB2312"/>
          <w:sz w:val="32"/>
          <w:szCs w:val="32"/>
          <w:lang w:val="en-US" w:eastAsia="zh-CN"/>
        </w:rPr>
      </w:pP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三、一般公共预算财政拨款“三公”经费支出决算情况</w:t>
      </w:r>
      <w:r>
        <w:rPr>
          <w:rFonts w:hint="eastAsia" w:ascii="黑体" w:hAnsi="黑体" w:eastAsia="黑体"/>
          <w:sz w:val="32"/>
          <w:szCs w:val="32"/>
          <w:lang w:eastAsia="zh-CN"/>
        </w:rPr>
        <w:t>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2021年度一般公共预算财政拨款安排的“三公”经费支出</w:t>
      </w:r>
      <w:r>
        <w:rPr>
          <w:rFonts w:hint="eastAsia" w:ascii="楷体_GB2312" w:hAnsi="宋体" w:eastAsia="楷体_GB2312"/>
          <w:b/>
          <w:sz w:val="32"/>
          <w:szCs w:val="32"/>
        </w:rPr>
        <w:t>0</w:t>
      </w:r>
      <w:r>
        <w:rPr>
          <w:rFonts w:hint="eastAsia" w:ascii="仿宋_GB2312" w:hAnsi="宋体" w:eastAsia="仿宋_GB2312"/>
          <w:sz w:val="32"/>
          <w:szCs w:val="32"/>
        </w:rPr>
        <w:t>万元，完成年初预算的100%。其中：因公出国（境）费</w:t>
      </w:r>
      <w:r>
        <w:rPr>
          <w:rFonts w:hint="eastAsia" w:ascii="楷体_GB2312" w:hAnsi="宋体" w:eastAsia="楷体_GB2312"/>
          <w:b/>
          <w:sz w:val="32"/>
          <w:szCs w:val="32"/>
        </w:rPr>
        <w:t>0</w:t>
      </w:r>
      <w:r>
        <w:rPr>
          <w:rFonts w:hint="eastAsia" w:ascii="仿宋_GB2312" w:hAnsi="宋体" w:eastAsia="仿宋_GB2312"/>
          <w:sz w:val="32"/>
          <w:szCs w:val="32"/>
        </w:rPr>
        <w:t>万元，公务接待费</w:t>
      </w:r>
      <w:r>
        <w:rPr>
          <w:rFonts w:hint="eastAsia" w:ascii="楷体_GB2312" w:hAnsi="宋体" w:eastAsia="楷体_GB2312"/>
          <w:b/>
          <w:sz w:val="32"/>
          <w:szCs w:val="32"/>
        </w:rPr>
        <w:t>0</w:t>
      </w:r>
      <w:r>
        <w:rPr>
          <w:rFonts w:hint="eastAsia" w:ascii="仿宋_GB2312" w:hAnsi="宋体" w:eastAsia="仿宋_GB2312"/>
          <w:sz w:val="32"/>
          <w:szCs w:val="32"/>
        </w:rPr>
        <w:t>万元，公务用车购置及运行维护费</w:t>
      </w:r>
      <w:r>
        <w:rPr>
          <w:rFonts w:hint="eastAsia" w:ascii="楷体_GB2312" w:hAnsi="宋体" w:eastAsia="楷体_GB2312"/>
          <w:b/>
          <w:sz w:val="32"/>
          <w:szCs w:val="32"/>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1.因公出国（境）费0万元，占“三公”经费支出的0%。完成年初预算的100%。2021年参加出国（境）团组0个，累计0人次。2021年因公出国（境）费与上年比无变化。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楷体_GB2312" w:hAnsi="宋体" w:eastAsia="楷体_GB2312"/>
          <w:b/>
          <w:sz w:val="32"/>
          <w:szCs w:val="32"/>
        </w:rPr>
        <w:t>0</w:t>
      </w:r>
      <w:r>
        <w:rPr>
          <w:rFonts w:hint="eastAsia" w:ascii="仿宋_GB2312" w:hAnsi="宋体" w:eastAsia="仿宋_GB2312"/>
          <w:sz w:val="32"/>
          <w:szCs w:val="32"/>
        </w:rPr>
        <w:t>万元，占“三公”经费支出的0%。完成年初预算的100%。2021年国内公务接待累计0批次、0人、0万元；其中外事接待累计0批次、0人、0万元。2021年公务接待费与上年比无变化。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楷体_GB2312" w:hAnsi="宋体" w:eastAsia="楷体_GB2312"/>
          <w:b/>
          <w:sz w:val="32"/>
          <w:szCs w:val="32"/>
        </w:rPr>
        <w:t>0</w:t>
      </w:r>
      <w:r>
        <w:rPr>
          <w:rFonts w:hint="eastAsia" w:ascii="仿宋_GB2312" w:hAnsi="宋体" w:eastAsia="仿宋_GB2312"/>
          <w:sz w:val="32"/>
          <w:szCs w:val="32"/>
        </w:rPr>
        <w:t>万元，占“三公”经费支出的0%。完成年初预算的100%。2021年公务用车购置及</w:t>
      </w:r>
      <w:r>
        <w:rPr>
          <w:rFonts w:ascii="仿宋_GB2312" w:hAnsi="宋体" w:eastAsia="仿宋_GB2312"/>
          <w:sz w:val="32"/>
          <w:szCs w:val="32"/>
        </w:rPr>
        <w:t>运行费</w:t>
      </w:r>
      <w:r>
        <w:rPr>
          <w:rFonts w:hint="eastAsia" w:ascii="仿宋_GB2312" w:hAnsi="宋体" w:eastAsia="仿宋_GB2312"/>
          <w:sz w:val="32"/>
          <w:szCs w:val="32"/>
        </w:rPr>
        <w:t>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其中：公务用车购置费0万元，当年购置公务用车0辆。公务用车运行维护费0万元，截至年末使用</w:t>
      </w:r>
      <w:r>
        <w:rPr>
          <w:rFonts w:ascii="仿宋_GB2312" w:hAnsi="宋体" w:eastAsia="仿宋_GB2312"/>
          <w:sz w:val="32"/>
          <w:szCs w:val="32"/>
        </w:rPr>
        <w:t>一般公共预算财政拨款开支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公务用车保有量0辆。</w:t>
      </w:r>
    </w:p>
    <w:p>
      <w:pPr>
        <w:spacing w:line="540" w:lineRule="exact"/>
        <w:ind w:firstLine="645"/>
        <w:rPr>
          <w:rFonts w:hint="eastAsia" w:ascii="黑体" w:hAnsi="黑体" w:eastAsia="黑体"/>
          <w:sz w:val="32"/>
          <w:szCs w:val="32"/>
        </w:rPr>
      </w:pPr>
      <w:r>
        <w:rPr>
          <w:rFonts w:hint="eastAsia" w:ascii="黑体" w:hAnsi="黑体" w:eastAsia="黑体"/>
          <w:sz w:val="32"/>
          <w:szCs w:val="32"/>
        </w:rPr>
        <w:t>四、一般公共预算财政拨款基本支出决算情况说明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年度一般公共预算财政拨款基本支出</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万元，其中：人员经费</w:t>
      </w:r>
      <w:r>
        <w:rPr>
          <w:rFonts w:hint="eastAsia" w:ascii="楷体_GB2312" w:hAnsi="宋体" w:eastAsia="楷体_GB2312"/>
          <w:b/>
          <w:sz w:val="32"/>
          <w:szCs w:val="32"/>
          <w:lang w:val="en-US" w:eastAsia="zh-CN"/>
        </w:rPr>
        <w:t>13</w:t>
      </w:r>
      <w:r>
        <w:rPr>
          <w:rFonts w:hint="eastAsia" w:ascii="仿宋_GB2312" w:hAnsi="宋体" w:eastAsia="仿宋_GB2312"/>
          <w:sz w:val="32"/>
          <w:szCs w:val="32"/>
        </w:rPr>
        <w:t>万元，主要包括基本工资</w:t>
      </w:r>
      <w:r>
        <w:rPr>
          <w:rFonts w:hint="eastAsia" w:ascii="仿宋_GB2312" w:hAnsi="宋体" w:eastAsia="仿宋_GB2312"/>
          <w:sz w:val="32"/>
          <w:szCs w:val="32"/>
          <w:lang w:val="en-US" w:eastAsia="zh-CN"/>
        </w:rPr>
        <w:t>13</w:t>
      </w:r>
      <w:r>
        <w:rPr>
          <w:rFonts w:hint="eastAsia" w:ascii="仿宋_GB2312" w:hAnsi="宋体" w:eastAsia="仿宋_GB2312"/>
          <w:sz w:val="32"/>
          <w:szCs w:val="32"/>
        </w:rPr>
        <w:t>万元。</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五、其他重要事项的情况说明</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pPr>
        <w:spacing w:line="540" w:lineRule="exact"/>
        <w:ind w:firstLine="66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年机关运行经费支出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宋体" w:eastAsia="仿宋_GB2312"/>
          <w:sz w:val="32"/>
          <w:szCs w:val="32"/>
          <w:lang w:val="en-US" w:eastAsia="zh-CN"/>
        </w:rPr>
        <w:t>与年初预算数、上年数保持一致。</w:t>
      </w:r>
      <w:bookmarkStart w:id="0" w:name="_GoBack"/>
      <w:bookmarkEnd w:id="0"/>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pPr>
        <w:spacing w:line="54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年政府采购支出总额</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；货物采购授予中小企业合同金额占货物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；工程采购授予中小企业合同金额占货物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；服务采购授予中小企业合同金额占货物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w:t>
      </w:r>
    </w:p>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2021</w:t>
      </w:r>
      <w:r>
        <w:rPr>
          <w:rFonts w:hint="eastAsia" w:ascii="仿宋_GB2312" w:hAnsi="黑体" w:eastAsia="仿宋_GB2312"/>
          <w:sz w:val="32"/>
          <w:szCs w:val="32"/>
        </w:rPr>
        <w:t>年12月31日，共有车辆</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辆，机要通讯用车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hAnsi="黑体" w:eastAsia="仿宋_GB2312"/>
          <w:sz w:val="32"/>
          <w:szCs w:val="32"/>
          <w:lang w:val="en-US" w:eastAsia="zh-CN"/>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辆；单位价值50万元以上通用设备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
      <w:pPr>
        <w:keepNext w:val="0"/>
        <w:keepLines w:val="0"/>
        <w:widowControl/>
        <w:numPr>
          <w:ilvl w:val="0"/>
          <w:numId w:val="1"/>
        </w:numPr>
        <w:suppressLineNumbers w:val="0"/>
        <w:spacing w:before="0" w:beforeAutospacing="0" w:after="0" w:afterAutospacing="0" w:line="540" w:lineRule="exact"/>
        <w:ind w:left="0" w:right="0" w:firstLine="643" w:firstLineChars="200"/>
        <w:jc w:val="left"/>
        <w:rPr>
          <w:rFonts w:ascii="楷体_GB2312" w:hAnsi="宋体" w:eastAsia="楷体_GB2312" w:cs="楷体_GB2312"/>
          <w:b/>
          <w:color w:val="auto"/>
          <w:kern w:val="2"/>
          <w:sz w:val="32"/>
          <w:szCs w:val="32"/>
          <w:highlight w:val="none"/>
          <w:shd w:val="clear" w:color="auto" w:fill="auto"/>
          <w:lang w:val="en-US" w:eastAsia="zh-CN" w:bidi="ar"/>
        </w:rPr>
      </w:pPr>
      <w:r>
        <w:rPr>
          <w:rFonts w:ascii="楷体_GB2312" w:hAnsi="宋体" w:eastAsia="楷体_GB2312" w:cs="楷体_GB2312"/>
          <w:b/>
          <w:color w:val="auto"/>
          <w:kern w:val="2"/>
          <w:sz w:val="32"/>
          <w:szCs w:val="32"/>
          <w:highlight w:val="none"/>
          <w:shd w:val="clear" w:color="auto" w:fill="auto"/>
          <w:lang w:val="en-US" w:eastAsia="zh-CN" w:bidi="ar"/>
        </w:rPr>
        <w:t>预算绩效情况。</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二级预算单位，绩效考评并入卫健局</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7.</w:t>
      </w:r>
      <w:r>
        <w:rPr>
          <w:rFonts w:hint="eastAsia" w:ascii="仿宋_GB2312" w:eastAsia="仿宋_GB2312"/>
          <w:b/>
          <w:sz w:val="32"/>
          <w:szCs w:val="32"/>
          <w:lang w:val="en-US" w:eastAsia="zh-CN"/>
        </w:rPr>
        <w:t>使用非财政拨款结余</w:t>
      </w:r>
      <w:r>
        <w:rPr>
          <w:rFonts w:hint="eastAsia" w:ascii="仿宋_GB2312" w:eastAsia="仿宋_GB2312"/>
          <w:b/>
          <w:sz w:val="32"/>
          <w:szCs w:val="32"/>
        </w:rPr>
        <w:t>：</w:t>
      </w:r>
      <w:r>
        <w:rPr>
          <w:rFonts w:hint="eastAsia" w:ascii="仿宋_GB2312" w:eastAsia="仿宋_GB2312"/>
          <w:sz w:val="32"/>
          <w:szCs w:val="32"/>
        </w:rPr>
        <w:t>指事业单位</w:t>
      </w:r>
      <w:r>
        <w:rPr>
          <w:rFonts w:hint="eastAsia" w:ascii="仿宋_GB2312" w:eastAsia="仿宋_GB2312"/>
          <w:sz w:val="32"/>
          <w:szCs w:val="32"/>
          <w:lang w:val="en-US" w:eastAsia="zh-CN"/>
        </w:rPr>
        <w:t>按照预算管理要求使用非财政拨款结余弥补收支差额的金额</w:t>
      </w:r>
      <w:r>
        <w:rPr>
          <w:rFonts w:hint="eastAsia" w:ascii="仿宋_GB2312" w:eastAsia="仿宋_GB2312"/>
          <w:sz w:val="32"/>
          <w:szCs w:val="32"/>
        </w:rPr>
        <w:t>。</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w:t>
      </w:r>
      <w:r>
        <w:rPr>
          <w:rFonts w:hint="eastAsia" w:ascii="仿宋_GB2312" w:eastAsia="仿宋_GB2312"/>
          <w:sz w:val="32"/>
          <w:szCs w:val="32"/>
          <w:lang w:val="en-US" w:eastAsia="zh-CN"/>
        </w:rPr>
        <w:t>一般公共预算</w:t>
      </w:r>
      <w:r>
        <w:rPr>
          <w:rFonts w:hint="eastAsia" w:ascii="仿宋_GB2312" w:eastAsia="仿宋_GB2312"/>
          <w:sz w:val="32"/>
          <w:szCs w:val="32"/>
        </w:rPr>
        <w:t>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15.机关运行经费：</w:t>
      </w:r>
      <w:r>
        <w:rPr>
          <w:rFonts w:hint="eastAsia" w:ascii="仿宋_GB2312" w:eastAsia="仿宋_GB2312"/>
          <w:sz w:val="32"/>
          <w:szCs w:val="32"/>
          <w:lang w:val="en-US" w:eastAsia="zh-CN"/>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6</w:t>
      </w:r>
      <w:r>
        <w:rPr>
          <w:rFonts w:hint="eastAsia" w:ascii="仿宋_GB2312" w:eastAsia="仿宋_GB2312"/>
          <w:b/>
          <w:sz w:val="32"/>
          <w:szCs w:val="32"/>
        </w:rPr>
        <w:t>.一般公共服务（类）财政事务（款）行政运行（项）：</w:t>
      </w:r>
      <w:r>
        <w:rPr>
          <w:rFonts w:hint="eastAsia" w:ascii="仿宋_GB2312" w:eastAsia="仿宋_GB2312"/>
          <w:sz w:val="32"/>
          <w:szCs w:val="32"/>
        </w:rPr>
        <w:t>反映行政单位（包括实行公务员管理的事业单位）的基本支出。</w:t>
      </w:r>
    </w:p>
    <w:p>
      <w:pPr>
        <w:spacing w:line="540" w:lineRule="exact"/>
        <w:ind w:firstLine="640" w:firstLineChars="200"/>
        <w:rPr>
          <w:rFonts w:hint="eastAsia" w:ascii="仿宋_GB2312" w:eastAsia="仿宋_GB2312"/>
          <w:b/>
          <w:sz w:val="32"/>
          <w:szCs w:val="32"/>
        </w:rPr>
      </w:pPr>
      <w:r>
        <w:rPr>
          <w:rFonts w:hint="eastAsia" w:ascii="仿宋_GB2312" w:eastAsia="仿宋_GB2312"/>
          <w:i/>
          <w:sz w:val="32"/>
          <w:szCs w:val="32"/>
          <w:u w:val="single"/>
        </w:rPr>
        <w:t>（部门决算涉及的支出功能分类全部项级科目，逐一解释）……</w:t>
      </w:r>
    </w:p>
    <w:p>
      <w:pPr>
        <w:spacing w:line="540" w:lineRule="exact"/>
        <w:rPr>
          <w:sz w:val="32"/>
          <w:szCs w:val="32"/>
        </w:rPr>
        <w:sectPr>
          <w:footerReference r:id="rId3" w:type="default"/>
          <w:footerReference r:id="rId4" w:type="even"/>
          <w:pgSz w:w="11906" w:h="16838"/>
          <w:pgMar w:top="1701" w:right="1417" w:bottom="1701" w:left="1417" w:header="851" w:footer="992" w:gutter="0"/>
          <w:cols w:space="720" w:num="1"/>
          <w:docGrid w:type="lines" w:linePitch="312" w:charSpace="0"/>
        </w:sectPr>
      </w:pPr>
    </w:p>
    <w:p/>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rPr>
          <w:rFonts w:hint="eastAsia" w:ascii="宋体" w:hAnsi="宋体"/>
          <w:b/>
          <w:sz w:val="52"/>
          <w:szCs w:val="52"/>
        </w:rPr>
      </w:pPr>
      <w:r>
        <w:rPr>
          <w:rFonts w:hint="eastAsia" w:ascii="宋体" w:hAnsi="宋体"/>
          <w:b/>
          <w:sz w:val="52"/>
          <w:szCs w:val="52"/>
        </w:rPr>
        <w:t xml:space="preserve">第四部分 </w:t>
      </w:r>
      <w:r>
        <w:rPr>
          <w:rFonts w:hint="eastAsia" w:ascii="宋体" w:hAnsi="宋体"/>
          <w:b/>
          <w:sz w:val="52"/>
          <w:szCs w:val="52"/>
          <w:lang w:eastAsia="zh-CN"/>
        </w:rPr>
        <w:t>2021</w:t>
      </w:r>
      <w:r>
        <w:rPr>
          <w:rFonts w:hint="eastAsia" w:ascii="宋体" w:hAnsi="宋体"/>
          <w:b/>
          <w:sz w:val="52"/>
          <w:szCs w:val="52"/>
        </w:rPr>
        <w:t>年度部门决算表</w:t>
      </w:r>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6"/>
        <w:gridCol w:w="476"/>
        <w:gridCol w:w="606"/>
        <w:gridCol w:w="2240"/>
        <w:gridCol w:w="477"/>
        <w:gridCol w:w="1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125"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7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12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7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5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725"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w:t>
            </w:r>
          </w:p>
        </w:tc>
        <w:tc>
          <w:tcPr>
            <w:tcW w:w="2274" w:type="pct"/>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3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6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256"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256"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6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三、国有资本经营预算财政拨款收入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四、上级补助收入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五、事业收入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407.04</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六、经营收入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七、附属单位上缴收入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八、其他收入</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6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本年收入合计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本年支出合计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6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使用非财政拨款结余</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结余分配</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6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34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379"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637"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12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总计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34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13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总计</w:t>
            </w:r>
          </w:p>
        </w:tc>
        <w:tc>
          <w:tcPr>
            <w:tcW w:w="25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637"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r>
    </w:tbl>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93"/>
        <w:gridCol w:w="221"/>
        <w:gridCol w:w="221"/>
        <w:gridCol w:w="1246"/>
        <w:gridCol w:w="563"/>
        <w:gridCol w:w="505"/>
        <w:gridCol w:w="330"/>
        <w:gridCol w:w="563"/>
        <w:gridCol w:w="331"/>
        <w:gridCol w:w="331"/>
        <w:gridCol w:w="10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53"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5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8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53"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5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8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08"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2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28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w:t>
            </w:r>
          </w:p>
        </w:tc>
        <w:tc>
          <w:tcPr>
            <w:tcW w:w="15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上级补助收入</w:t>
            </w:r>
          </w:p>
        </w:tc>
        <w:tc>
          <w:tcPr>
            <w:tcW w:w="32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事业收入</w:t>
            </w:r>
          </w:p>
        </w:tc>
        <w:tc>
          <w:tcPr>
            <w:tcW w:w="16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经营收入</w:t>
            </w:r>
          </w:p>
        </w:tc>
        <w:tc>
          <w:tcPr>
            <w:tcW w:w="16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附属单位上缴收入</w:t>
            </w:r>
          </w:p>
        </w:tc>
        <w:tc>
          <w:tcPr>
            <w:tcW w:w="58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79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2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5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8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9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5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8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9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8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5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8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0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2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28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15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2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6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16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58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08"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420.04</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407.04</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407.04</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407.04</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7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2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28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407.04</w:t>
            </w: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14"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9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8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8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55"/>
        <w:gridCol w:w="222"/>
        <w:gridCol w:w="222"/>
        <w:gridCol w:w="1303"/>
        <w:gridCol w:w="582"/>
        <w:gridCol w:w="582"/>
        <w:gridCol w:w="521"/>
        <w:gridCol w:w="337"/>
        <w:gridCol w:w="337"/>
        <w:gridCol w:w="10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22"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9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0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022"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9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0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104"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3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33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291"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1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上缴上级支出</w:t>
            </w:r>
          </w:p>
        </w:tc>
        <w:tc>
          <w:tcPr>
            <w:tcW w:w="16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经营支出</w:t>
            </w:r>
          </w:p>
        </w:tc>
        <w:tc>
          <w:tcPr>
            <w:tcW w:w="609"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83"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821"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0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83"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21"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0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83"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21"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3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91"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6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09"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1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3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3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291"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6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09"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9" w:hRule="atLeast"/>
        </w:trPr>
        <w:tc>
          <w:tcPr>
            <w:tcW w:w="31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420.04</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366.93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53.11</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8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366.93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53.11</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8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366.93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53.11</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8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420.04</w:t>
            </w:r>
          </w:p>
        </w:tc>
        <w:tc>
          <w:tcPr>
            <w:tcW w:w="33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366.93</w:t>
            </w:r>
          </w:p>
        </w:tc>
        <w:tc>
          <w:tcPr>
            <w:tcW w:w="29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53.11</w:t>
            </w: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283"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1"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3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9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0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40"/>
        <w:gridCol w:w="328"/>
        <w:gridCol w:w="497"/>
        <w:gridCol w:w="1903"/>
        <w:gridCol w:w="328"/>
        <w:gridCol w:w="497"/>
        <w:gridCol w:w="497"/>
        <w:gridCol w:w="328"/>
        <w:gridCol w:w="10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87"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1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3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0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4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87"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1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3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0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4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2192"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     入</w:t>
            </w:r>
          </w:p>
        </w:tc>
        <w:tc>
          <w:tcPr>
            <w:tcW w:w="2807"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43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11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238"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3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w:t>
            </w:r>
          </w:p>
        </w:tc>
        <w:tc>
          <w:tcPr>
            <w:tcW w:w="30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w:t>
            </w:r>
          </w:p>
        </w:tc>
        <w:tc>
          <w:tcPr>
            <w:tcW w:w="54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11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38"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3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0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4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1"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23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3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0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54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年初财政拨款结转和结余</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年末财政拨款结转和结余</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一般公共预算财政拨款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政府性基金预算财政拨款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国有资本经营预算财政拨款</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1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63</w:t>
            </w:r>
          </w:p>
        </w:tc>
        <w:tc>
          <w:tcPr>
            <w:tcW w:w="23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3" w:hRule="atLeast"/>
        </w:trPr>
        <w:tc>
          <w:tcPr>
            <w:tcW w:w="1587"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111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23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43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0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4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55"/>
        <w:gridCol w:w="222"/>
        <w:gridCol w:w="222"/>
        <w:gridCol w:w="1645"/>
        <w:gridCol w:w="579"/>
        <w:gridCol w:w="579"/>
        <w:gridCol w:w="12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79"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6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1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379"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6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4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1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604"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395"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639"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965"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4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34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71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6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6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1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6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4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1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6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4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4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71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604"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96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96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96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34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6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6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4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71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16"/>
        <w:gridCol w:w="1370"/>
        <w:gridCol w:w="408"/>
        <w:gridCol w:w="408"/>
        <w:gridCol w:w="985"/>
        <w:gridCol w:w="293"/>
        <w:gridCol w:w="408"/>
        <w:gridCol w:w="1678"/>
        <w:gridCol w:w="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64" w:hRule="atLeast"/>
        </w:trPr>
        <w:tc>
          <w:tcPr>
            <w:tcW w:w="1281"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90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51"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281"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90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9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3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51"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379"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w:t>
            </w:r>
          </w:p>
        </w:tc>
        <w:tc>
          <w:tcPr>
            <w:tcW w:w="2620"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904"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19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19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62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13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19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113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5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04"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9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9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9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13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5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工资福利支出</w:t>
            </w:r>
          </w:p>
        </w:tc>
        <w:tc>
          <w:tcPr>
            <w:tcW w:w="1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12.99</w:t>
            </w: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商品和服务支出</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债务利息及费用支出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30101</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基本工资</w:t>
            </w:r>
          </w:p>
        </w:tc>
        <w:tc>
          <w:tcPr>
            <w:tcW w:w="1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12.99</w:t>
            </w: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30201</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30701</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国内债务付息</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津贴补贴</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30202</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印刷费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30702</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国外债务付息</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奖金</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30203</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咨询费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资本性支出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30106</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伙食补助费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30204</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手续费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31001</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房屋建筑物购建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30107</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绩效工资</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30205</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水费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31002</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办公设备购置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30108</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机关事业单位基本养老保险缴费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30206</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电费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31003</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专用设备购置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30109</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职业年金缴费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30207</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邮电费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31005</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基础设施建设</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30110</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职工基本医疗保险缴费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30208</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取暖费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31006</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大型修缮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30111</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公务员医疗补助缴费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30209</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物业管理费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31007</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信息网络及软件购置更新</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其他社会保障缴费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30211</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差旅费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31008</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物资储备</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30113</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住房公积金</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30212</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因公出国（境）费用</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31009</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土地补偿</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30114</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30213</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维修（护）费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31010</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安置补助</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其他工资福利支出</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30214</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租赁费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31011</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地上附着物和青苗补偿</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对个人和家庭的补助</w:t>
            </w:r>
          </w:p>
        </w:tc>
        <w:tc>
          <w:tcPr>
            <w:tcW w:w="1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0.01</w:t>
            </w: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30215</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会议费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31012</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拆迁补偿</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30301</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离休费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30216</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培训费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31013</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公务用车购置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30302</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退休费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30217</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公务接待费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31019</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其他交通工具购置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30303</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退职（役）费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30218</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专用材料费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31021</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文物和陈列品购置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30304</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抚恤金</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30224</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被装购置费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31022</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无形资产购置</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30305</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生活补助</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30225</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专用燃料费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31099</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其他资本性支出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30306</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救济费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30226</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劳务费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对企业补助</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30307</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医疗费补助</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30227</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委托业务费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31201</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资本金注入</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30308</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助学金</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30228</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工会经费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31203</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政府投资基金股权投资</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30309</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奖励金</w:t>
            </w:r>
          </w:p>
        </w:tc>
        <w:tc>
          <w:tcPr>
            <w:tcW w:w="1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0.01</w:t>
            </w: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30229</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福利费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31204</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费用补贴</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30310</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个人农业生产补贴</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30231</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公务用车运行维护费</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31205</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利息补贴</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30311</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代缴社会保险费</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30239</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其他交通费用</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31299</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其他对企业补助</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30399</w:t>
            </w:r>
          </w:p>
        </w:tc>
        <w:tc>
          <w:tcPr>
            <w:tcW w:w="90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其他对个人和家庭的补助</w:t>
            </w: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30240</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税金及附加费用</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其他支出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04"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30299</w:t>
            </w:r>
          </w:p>
        </w:tc>
        <w:tc>
          <w:tcPr>
            <w:tcW w:w="62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其他商品和服务支出</w:t>
            </w:r>
          </w:p>
        </w:tc>
        <w:tc>
          <w:tcPr>
            <w:tcW w:w="1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39906</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赠与</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04"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20"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3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39907</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国家赔偿费用支出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04"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20"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3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39908</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对民间非营利组织和群众性自治组织补贴</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1281"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904"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20"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30"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39999</w:t>
            </w:r>
          </w:p>
        </w:tc>
        <w:tc>
          <w:tcPr>
            <w:tcW w:w="113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其他支出</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2" w:hRule="atLeast"/>
        </w:trPr>
        <w:tc>
          <w:tcPr>
            <w:tcW w:w="2186"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人员经费合计</w:t>
            </w:r>
          </w:p>
        </w:tc>
        <w:tc>
          <w:tcPr>
            <w:tcW w:w="193"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13.00</w:t>
            </w:r>
          </w:p>
        </w:tc>
        <w:tc>
          <w:tcPr>
            <w:tcW w:w="2268" w:type="pct"/>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公用经费合计</w:t>
            </w:r>
          </w:p>
        </w:tc>
        <w:tc>
          <w:tcPr>
            <w:tcW w:w="35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89"/>
        <w:gridCol w:w="966"/>
        <w:gridCol w:w="1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455"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56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7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455"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部门名称:辽宁省本溪市明山区北地街道北地社区卫生服务中心</w:t>
            </w:r>
          </w:p>
        </w:tc>
        <w:tc>
          <w:tcPr>
            <w:tcW w:w="56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7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项    目</w:t>
            </w:r>
          </w:p>
        </w:tc>
        <w:tc>
          <w:tcPr>
            <w:tcW w:w="567"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预算数</w:t>
            </w:r>
          </w:p>
        </w:tc>
        <w:tc>
          <w:tcPr>
            <w:tcW w:w="977"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    计</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1、因公出国（境）费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2、公务接待费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3、公务用车购置及运行费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其中: （1）公务用车运行维护费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455"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（2）公务用车购置费</w:t>
            </w:r>
          </w:p>
        </w:tc>
        <w:tc>
          <w:tcPr>
            <w:tcW w:w="56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7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6"/>
        <w:gridCol w:w="222"/>
        <w:gridCol w:w="222"/>
        <w:gridCol w:w="736"/>
        <w:gridCol w:w="507"/>
        <w:gridCol w:w="527"/>
        <w:gridCol w:w="528"/>
        <w:gridCol w:w="528"/>
        <w:gridCol w:w="530"/>
        <w:gridCol w:w="1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078"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2078"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62"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2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32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w:t>
            </w:r>
          </w:p>
        </w:tc>
        <w:tc>
          <w:tcPr>
            <w:tcW w:w="967"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c>
          <w:tcPr>
            <w:tcW w:w="62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39"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42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3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32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62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33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762"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2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2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762"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33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p>
      <w:pPr>
        <w:bidi w:val="0"/>
        <w:jc w:val="center"/>
        <w:rPr>
          <w:rFonts w:hint="eastAsia"/>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8"/>
        <w:gridCol w:w="222"/>
        <w:gridCol w:w="222"/>
        <w:gridCol w:w="903"/>
        <w:gridCol w:w="668"/>
        <w:gridCol w:w="619"/>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616"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2616"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部门：辽宁省本溪市明山区北地街道北地社区卫生服务中心</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6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6"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593"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76"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52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9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6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8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76"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9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6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76"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9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6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6"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9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6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8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6"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876"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bidi w:val="0"/>
        <w:jc w:val="cente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4576A7"/>
    <w:multiLevelType w:val="singleLevel"/>
    <w:tmpl w:val="7E4576A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ZDIwYmNlNDhhNjgzNGI5NDRlMjZiNjc4ZTAxYjMifQ=="/>
  </w:docVars>
  <w:rsids>
    <w:rsidRoot w:val="0F167B39"/>
    <w:rsid w:val="0F167B39"/>
    <w:rsid w:val="15D90DDD"/>
    <w:rsid w:val="29D12543"/>
    <w:rsid w:val="370B3BDF"/>
    <w:rsid w:val="4D557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5011</Words>
  <Characters>5917</Characters>
  <Lines>0</Lines>
  <Paragraphs>0</Paragraphs>
  <TotalTime>1</TotalTime>
  <ScaleCrop>false</ScaleCrop>
  <LinksUpToDate>false</LinksUpToDate>
  <CharactersWithSpaces>6112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2022-09-20T01:12:00Z</dcterms:created>
  <dc:creator>Administrator</dc:creator>
  <cp:lastModifiedBy>Administrator</cp:lastModifiedBy>
  <dcterms:modified xsi:type="dcterms:W3CDTF">2023-03-31T03:17:34Z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93DBCABAAC3B44B19578BA6F647224AF</vt:lpwstr>
  </property>
</Properties>
</file>