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b/>
          <w:sz w:val="44"/>
          <w:szCs w:val="44"/>
        </w:rPr>
      </w:pPr>
      <w:r>
        <w:rPr>
          <w:rFonts w:hint="eastAsia"/>
          <w:b/>
          <w:sz w:val="44"/>
          <w:szCs w:val="44"/>
          <w:lang w:val="en-US" w:eastAsia="zh-CN"/>
        </w:rPr>
        <w:t>牛心台街道社区卫生服务中心</w:t>
      </w:r>
      <w:r>
        <w:rPr>
          <w:rFonts w:hint="eastAsia"/>
          <w:b/>
          <w:sz w:val="44"/>
          <w:szCs w:val="44"/>
        </w:rPr>
        <w:t>决</w:t>
      </w:r>
    </w:p>
    <w:p>
      <w:pPr>
        <w:spacing w:line="540" w:lineRule="exact"/>
        <w:jc w:val="center"/>
        <w:rPr>
          <w:rFonts w:hint="eastAsia" w:ascii="宋体" w:hAnsi="宋体"/>
          <w:b/>
          <w:sz w:val="36"/>
          <w:szCs w:val="36"/>
          <w:lang w:eastAsia="zh-CN"/>
        </w:rPr>
      </w:pPr>
      <w:r>
        <w:rPr>
          <w:rFonts w:hint="eastAsia" w:ascii="宋体" w:hAnsi="宋体"/>
          <w:b/>
          <w:sz w:val="52"/>
          <w:szCs w:val="52"/>
          <w:lang w:eastAsia="zh-CN"/>
        </w:rPr>
        <w:t>2021</w:t>
      </w:r>
      <w:r>
        <w:rPr>
          <w:rFonts w:hint="eastAsia" w:ascii="宋体" w:hAnsi="宋体"/>
          <w:b/>
          <w:sz w:val="52"/>
          <w:szCs w:val="52"/>
        </w:rPr>
        <w:t>年度部门决算</w:t>
      </w:r>
    </w:p>
    <w:p>
      <w:pPr>
        <w:spacing w:line="540" w:lineRule="exact"/>
        <w:jc w:val="center"/>
        <w:rPr>
          <w:rFonts w:hint="eastAsia" w:ascii="宋体" w:hAnsi="宋体"/>
          <w:b/>
          <w:sz w:val="36"/>
          <w:szCs w:val="36"/>
        </w:rPr>
      </w:pPr>
    </w:p>
    <w:p>
      <w:pPr>
        <w:spacing w:line="540" w:lineRule="exact"/>
        <w:jc w:val="center"/>
        <w:rPr>
          <w:rFonts w:hint="eastAsia" w:ascii="宋体" w:hAnsi="宋体"/>
          <w:b/>
          <w:sz w:val="36"/>
          <w:szCs w:val="36"/>
        </w:rPr>
      </w:pPr>
      <w:r>
        <w:rPr>
          <w:rFonts w:hint="eastAsia" w:ascii="宋体" w:hAnsi="宋体"/>
          <w:b/>
          <w:sz w:val="36"/>
          <w:szCs w:val="36"/>
        </w:rPr>
        <w:t xml:space="preserve">第一部分 </w:t>
      </w:r>
      <w:r>
        <w:rPr>
          <w:rFonts w:hint="eastAsia" w:ascii="宋体" w:hAnsi="宋体"/>
          <w:b/>
          <w:sz w:val="36"/>
          <w:szCs w:val="36"/>
          <w:lang w:eastAsia="zh-CN"/>
        </w:rPr>
        <w:t>部门</w:t>
      </w:r>
      <w:r>
        <w:rPr>
          <w:rFonts w:hint="eastAsia" w:ascii="宋体" w:hAnsi="宋体"/>
          <w:b/>
          <w:sz w:val="36"/>
          <w:szCs w:val="36"/>
        </w:rPr>
        <w:t>概况</w:t>
      </w:r>
    </w:p>
    <w:p>
      <w:pPr>
        <w:spacing w:line="540" w:lineRule="exact"/>
        <w:ind w:firstLine="640" w:firstLineChars="200"/>
        <w:jc w:val="left"/>
        <w:rPr>
          <w:rFonts w:hint="eastAsia" w:ascii="黑体" w:eastAsia="黑体"/>
          <w:sz w:val="32"/>
          <w:szCs w:val="32"/>
        </w:rPr>
      </w:pPr>
    </w:p>
    <w:p>
      <w:pPr>
        <w:numPr>
          <w:ilvl w:val="0"/>
          <w:numId w:val="1"/>
        </w:numPr>
        <w:rPr>
          <w:rFonts w:hint="eastAsia" w:ascii="黑体" w:eastAsia="黑体"/>
          <w:sz w:val="32"/>
          <w:szCs w:val="32"/>
        </w:rPr>
      </w:pPr>
      <w:r>
        <w:rPr>
          <w:rFonts w:hint="eastAsia" w:ascii="黑体" w:eastAsia="黑体"/>
          <w:sz w:val="32"/>
          <w:szCs w:val="32"/>
        </w:rPr>
        <w:t>主要职责</w:t>
      </w:r>
    </w:p>
    <w:p>
      <w:pPr>
        <w:widowControl/>
        <w:spacing w:line="520" w:lineRule="atLeast"/>
        <w:ind w:firstLine="640"/>
        <w:rPr>
          <w:sz w:val="20"/>
          <w:szCs w:val="20"/>
        </w:rPr>
      </w:pPr>
      <w:r>
        <w:rPr>
          <w:rFonts w:hint="eastAsia" w:ascii="仿宋_GB2312" w:hAnsi="仿宋_GB2312" w:eastAsia="仿宋_GB2312"/>
          <w:sz w:val="32"/>
          <w:szCs w:val="32"/>
        </w:rPr>
        <w:t>1．</w:t>
      </w:r>
      <w:r>
        <w:rPr>
          <w:rFonts w:hint="eastAsia" w:ascii="仿宋_GB2312" w:hAnsi="仿宋_GB2312" w:eastAsia="仿宋_GB2312"/>
          <w:sz w:val="32"/>
          <w:szCs w:val="32"/>
          <w:lang w:eastAsia="zh-CN"/>
        </w:rPr>
        <w:t>牛心台社区卫生服务中心</w:t>
      </w:r>
      <w:r>
        <w:rPr>
          <w:rFonts w:hint="eastAsia" w:ascii="仿宋_GB2312" w:hAnsi="仿宋_GB2312" w:eastAsia="仿宋_GB2312"/>
          <w:sz w:val="32"/>
          <w:szCs w:val="32"/>
        </w:rPr>
        <w:t>主要职能</w:t>
      </w:r>
      <w:r>
        <w:rPr>
          <w:rFonts w:hint="eastAsia" w:ascii="仿宋_GB2312" w:hAnsi="仿宋_GB2312" w:eastAsia="仿宋_GB2312"/>
          <w:sz w:val="32"/>
          <w:szCs w:val="32"/>
          <w:lang w:eastAsia="zh-CN"/>
        </w:rPr>
        <w:t>是负责牛心台地区居民的基本医疗、公共卫生服务和村卫生室的管理</w:t>
      </w:r>
      <w:r>
        <w:rPr>
          <w:rFonts w:hint="eastAsia" w:ascii="仿宋_GB2312" w:hAnsi="仿宋_GB2312" w:eastAsia="仿宋_GB2312"/>
          <w:sz w:val="32"/>
          <w:szCs w:val="32"/>
        </w:rPr>
        <w:t>。</w:t>
      </w:r>
    </w:p>
    <w:p>
      <w:pPr>
        <w:widowControl/>
        <w:spacing w:line="520" w:lineRule="atLeast"/>
        <w:ind w:firstLine="640"/>
        <w:rPr>
          <w:rFonts w:hint="eastAsia" w:ascii="仿宋_GB2312" w:hAnsi="仿宋_GB2312" w:eastAsia="仿宋_GB2312"/>
          <w:sz w:val="32"/>
          <w:szCs w:val="32"/>
          <w:lang w:val="en-US" w:eastAsia="zh-CN"/>
        </w:rPr>
      </w:pPr>
      <w:r>
        <w:rPr>
          <w:rFonts w:hint="eastAsia" w:ascii="仿宋_GB2312" w:hAnsi="仿宋_GB2312" w:eastAsia="仿宋_GB2312"/>
          <w:sz w:val="32"/>
          <w:szCs w:val="32"/>
        </w:rPr>
        <w:t>2．机构情况</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牛心台社区卫生服务中心下辖两家村卫生室上牛村卫生室、红脸村卫生室和下牛村卫生保健室。</w:t>
      </w:r>
    </w:p>
    <w:p>
      <w:pPr>
        <w:widowControl/>
        <w:spacing w:line="520" w:lineRule="atLeast"/>
        <w:rPr>
          <w:rFonts w:hint="eastAsia" w:ascii="仿宋" w:hAnsi="仿宋" w:eastAsia="仿宋" w:cs="仿宋"/>
          <w:sz w:val="32"/>
          <w:szCs w:val="32"/>
        </w:rPr>
      </w:pPr>
      <w:r>
        <w:rPr>
          <w:rFonts w:hint="eastAsia" w:ascii="仿宋_GB2312" w:hAnsi="仿宋_GB2312" w:eastAsia="仿宋_GB2312"/>
          <w:sz w:val="32"/>
          <w:szCs w:val="32"/>
          <w:lang w:val="en-US" w:eastAsia="zh-CN"/>
        </w:rPr>
        <w:t xml:space="preserve">  </w:t>
      </w:r>
      <w:r>
        <w:rPr>
          <w:rFonts w:hint="eastAsia" w:ascii="仿宋" w:hAnsi="仿宋" w:eastAsia="仿宋" w:cs="仿宋"/>
          <w:sz w:val="32"/>
          <w:szCs w:val="32"/>
        </w:rPr>
        <w:t>科室设置：设有全科诊室、抢救室、药房、收款室、放射科、化验室、心电图室、</w:t>
      </w:r>
      <w:r>
        <w:rPr>
          <w:rFonts w:hint="eastAsia" w:ascii="仿宋" w:hAnsi="仿宋" w:eastAsia="仿宋" w:cs="仿宋"/>
          <w:sz w:val="32"/>
          <w:szCs w:val="32"/>
          <w:lang w:val="en-US" w:eastAsia="zh-CN"/>
        </w:rPr>
        <w:t>B</w:t>
      </w:r>
      <w:r>
        <w:rPr>
          <w:rFonts w:hint="eastAsia" w:ascii="仿宋" w:hAnsi="仿宋" w:eastAsia="仿宋" w:cs="仿宋"/>
          <w:sz w:val="32"/>
          <w:szCs w:val="32"/>
        </w:rPr>
        <w:t>超室、输液大厅、配药室、妇女保健科、儿童保健科、公共卫生科、</w:t>
      </w:r>
      <w:r>
        <w:rPr>
          <w:rFonts w:hint="eastAsia" w:ascii="仿宋" w:hAnsi="仿宋" w:eastAsia="仿宋" w:cs="仿宋"/>
          <w:sz w:val="32"/>
          <w:szCs w:val="32"/>
          <w:lang w:eastAsia="zh-CN"/>
        </w:rPr>
        <w:t>传染病、健康教育及</w:t>
      </w:r>
      <w:r>
        <w:rPr>
          <w:rFonts w:hint="eastAsia" w:ascii="仿宋" w:hAnsi="仿宋" w:eastAsia="仿宋" w:cs="仿宋"/>
          <w:sz w:val="32"/>
          <w:szCs w:val="32"/>
        </w:rPr>
        <w:t>重</w:t>
      </w:r>
      <w:r>
        <w:rPr>
          <w:rFonts w:hint="eastAsia" w:ascii="仿宋" w:hAnsi="仿宋" w:eastAsia="仿宋" w:cs="仿宋"/>
          <w:sz w:val="32"/>
          <w:szCs w:val="32"/>
          <w:lang w:eastAsia="zh-CN"/>
        </w:rPr>
        <w:t>性</w:t>
      </w:r>
      <w:r>
        <w:rPr>
          <w:rFonts w:hint="eastAsia" w:ascii="仿宋" w:hAnsi="仿宋" w:eastAsia="仿宋" w:cs="仿宋"/>
          <w:sz w:val="32"/>
          <w:szCs w:val="32"/>
        </w:rPr>
        <w:t>精神病管理</w:t>
      </w:r>
      <w:r>
        <w:rPr>
          <w:rFonts w:hint="eastAsia" w:ascii="仿宋" w:hAnsi="仿宋" w:eastAsia="仿宋" w:cs="仿宋"/>
          <w:sz w:val="32"/>
          <w:szCs w:val="32"/>
          <w:lang w:eastAsia="zh-CN"/>
        </w:rPr>
        <w:t>和卫生协管</w:t>
      </w:r>
      <w:r>
        <w:rPr>
          <w:rFonts w:hint="eastAsia" w:ascii="仿宋" w:hAnsi="仿宋" w:eastAsia="仿宋" w:cs="仿宋"/>
          <w:sz w:val="32"/>
          <w:szCs w:val="32"/>
        </w:rPr>
        <w:t>等。</w:t>
      </w:r>
    </w:p>
    <w:p>
      <w:pPr>
        <w:widowControl/>
        <w:spacing w:line="520" w:lineRule="atLeast"/>
        <w:rPr>
          <w:rFonts w:hint="eastAsia" w:ascii="仿宋_GB2312" w:hAnsi="仿宋_GB2312" w:eastAsia="仿宋_GB2312"/>
          <w:sz w:val="32"/>
          <w:szCs w:val="32"/>
          <w:lang w:val="en-US" w:eastAsia="zh-CN"/>
        </w:rPr>
      </w:pPr>
      <w:r>
        <w:rPr>
          <w:rFonts w:hint="eastAsia" w:ascii="仿宋" w:hAnsi="仿宋" w:eastAsia="仿宋" w:cs="仿宋"/>
          <w:sz w:val="32"/>
          <w:szCs w:val="32"/>
        </w:rPr>
        <w:t>医疗设备情况：中心配有</w:t>
      </w:r>
      <w:r>
        <w:rPr>
          <w:rFonts w:hint="eastAsia" w:ascii="仿宋" w:hAnsi="仿宋" w:eastAsia="仿宋" w:cs="仿宋"/>
          <w:sz w:val="32"/>
          <w:szCs w:val="32"/>
          <w:lang w:eastAsia="zh-CN"/>
        </w:rPr>
        <w:t>全自动洗胃机、除颤仪、</w:t>
      </w:r>
      <w:r>
        <w:rPr>
          <w:rFonts w:hint="eastAsia" w:ascii="仿宋" w:hAnsi="仿宋" w:eastAsia="仿宋" w:cs="仿宋"/>
          <w:sz w:val="32"/>
          <w:szCs w:val="32"/>
        </w:rPr>
        <w:t>全自动生化仪、全自动血球分析仪、尿液分析仪、</w:t>
      </w:r>
      <w:r>
        <w:rPr>
          <w:rFonts w:hint="eastAsia" w:ascii="仿宋" w:hAnsi="仿宋" w:eastAsia="仿宋" w:cs="仿宋"/>
          <w:sz w:val="32"/>
          <w:szCs w:val="32"/>
          <w:lang w:eastAsia="zh-CN"/>
        </w:rPr>
        <w:t>彩色超声仪</w:t>
      </w:r>
      <w:r>
        <w:rPr>
          <w:rFonts w:hint="eastAsia" w:ascii="仿宋" w:hAnsi="仿宋" w:eastAsia="仿宋" w:cs="仿宋"/>
          <w:sz w:val="32"/>
          <w:szCs w:val="32"/>
        </w:rPr>
        <w:t>、</w:t>
      </w:r>
      <w:r>
        <w:rPr>
          <w:rFonts w:hint="eastAsia" w:ascii="仿宋" w:hAnsi="仿宋" w:eastAsia="仿宋" w:cs="仿宋"/>
          <w:sz w:val="32"/>
          <w:szCs w:val="32"/>
          <w:lang w:val="en-US" w:eastAsia="zh-CN"/>
        </w:rPr>
        <w:t>DR摄影仪、</w:t>
      </w:r>
      <w:r>
        <w:rPr>
          <w:rFonts w:hint="eastAsia" w:ascii="仿宋" w:hAnsi="仿宋" w:eastAsia="仿宋" w:cs="仿宋"/>
          <w:sz w:val="32"/>
          <w:szCs w:val="32"/>
        </w:rPr>
        <w:t>12导及6导心电图机、远红外温热理疗仪、远红外线烤灯等。</w:t>
      </w:r>
      <w:r>
        <w:rPr>
          <w:rFonts w:hint="eastAsia" w:ascii="仿宋_GB2312" w:hAnsi="仿宋_GB2312" w:eastAsia="仿宋_GB2312"/>
          <w:sz w:val="32"/>
          <w:szCs w:val="32"/>
          <w:lang w:val="en-US" w:eastAsia="zh-CN"/>
        </w:rPr>
        <w:t xml:space="preserve"> </w:t>
      </w:r>
    </w:p>
    <w:p>
      <w:pPr>
        <w:widowControl/>
        <w:spacing w:line="520" w:lineRule="atLeast"/>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 xml:space="preserve"> 二，</w:t>
      </w:r>
      <w:r>
        <w:rPr>
          <w:rFonts w:hint="eastAsia" w:ascii="仿宋_GB2312" w:hAnsi="仿宋_GB2312" w:eastAsia="仿宋_GB2312"/>
          <w:sz w:val="32"/>
          <w:szCs w:val="32"/>
        </w:rPr>
        <w:t>人员情况</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牛心台社区卫生服务中心</w:t>
      </w:r>
      <w:r>
        <w:rPr>
          <w:rFonts w:hint="eastAsia" w:ascii="仿宋" w:hAnsi="仿宋" w:eastAsia="仿宋" w:cs="仿宋"/>
          <w:sz w:val="32"/>
          <w:szCs w:val="32"/>
        </w:rPr>
        <w:t>人员编制：</w:t>
      </w:r>
      <w:r>
        <w:rPr>
          <w:rFonts w:hint="eastAsia" w:ascii="仿宋" w:hAnsi="仿宋" w:eastAsia="仿宋" w:cs="仿宋"/>
          <w:sz w:val="32"/>
          <w:szCs w:val="32"/>
          <w:lang w:val="en-US" w:eastAsia="zh-CN"/>
        </w:rPr>
        <w:t>24</w:t>
      </w:r>
      <w:r>
        <w:rPr>
          <w:rFonts w:hint="eastAsia" w:ascii="仿宋" w:hAnsi="仿宋" w:eastAsia="仿宋" w:cs="仿宋"/>
          <w:sz w:val="32"/>
          <w:szCs w:val="32"/>
        </w:rPr>
        <w:t>人，实际在编：</w:t>
      </w:r>
      <w:r>
        <w:rPr>
          <w:rFonts w:hint="eastAsia" w:ascii="仿宋" w:hAnsi="仿宋" w:eastAsia="仿宋" w:cs="仿宋"/>
          <w:sz w:val="32"/>
          <w:szCs w:val="32"/>
          <w:lang w:val="en-US" w:eastAsia="zh-CN"/>
        </w:rPr>
        <w:t>13</w:t>
      </w:r>
      <w:r>
        <w:rPr>
          <w:rFonts w:hint="eastAsia" w:ascii="仿宋" w:hAnsi="仿宋" w:eastAsia="仿宋" w:cs="仿宋"/>
          <w:sz w:val="32"/>
          <w:szCs w:val="32"/>
        </w:rPr>
        <w:t>人</w:t>
      </w:r>
      <w:r>
        <w:rPr>
          <w:rFonts w:hint="eastAsia" w:ascii="仿宋" w:hAnsi="仿宋" w:eastAsia="仿宋" w:cs="仿宋"/>
          <w:sz w:val="32"/>
          <w:szCs w:val="32"/>
          <w:lang w:val="en-US" w:eastAsia="zh-CN"/>
        </w:rPr>
        <w:t>；</w:t>
      </w:r>
      <w:r>
        <w:rPr>
          <w:rFonts w:hint="eastAsia" w:ascii="仿宋" w:hAnsi="仿宋" w:eastAsia="仿宋" w:cs="仿宋"/>
          <w:sz w:val="32"/>
          <w:szCs w:val="32"/>
        </w:rPr>
        <w:t>在职</w:t>
      </w:r>
      <w:r>
        <w:rPr>
          <w:rFonts w:hint="eastAsia" w:ascii="仿宋" w:hAnsi="仿宋" w:eastAsia="仿宋" w:cs="仿宋"/>
          <w:sz w:val="32"/>
          <w:szCs w:val="32"/>
          <w:lang w:val="en-US" w:eastAsia="zh-CN"/>
        </w:rPr>
        <w:t>13</w:t>
      </w:r>
      <w:r>
        <w:rPr>
          <w:rFonts w:hint="eastAsia" w:ascii="仿宋" w:hAnsi="仿宋" w:eastAsia="仿宋" w:cs="仿宋"/>
          <w:sz w:val="32"/>
          <w:szCs w:val="32"/>
        </w:rPr>
        <w:t>人中</w:t>
      </w:r>
      <w:r>
        <w:rPr>
          <w:rFonts w:hint="eastAsia" w:ascii="仿宋" w:hAnsi="仿宋" w:eastAsia="仿宋" w:cs="仿宋"/>
          <w:sz w:val="32"/>
          <w:szCs w:val="32"/>
          <w:lang w:eastAsia="zh-CN"/>
        </w:rPr>
        <w:t>，</w:t>
      </w:r>
      <w:r>
        <w:rPr>
          <w:rFonts w:hint="eastAsia" w:ascii="仿宋" w:hAnsi="仿宋" w:eastAsia="仿宋" w:cs="仿宋"/>
          <w:sz w:val="32"/>
          <w:szCs w:val="32"/>
        </w:rPr>
        <w:t>专业技术人员：</w:t>
      </w:r>
      <w:r>
        <w:rPr>
          <w:rFonts w:hint="eastAsia" w:ascii="仿宋" w:hAnsi="仿宋" w:eastAsia="仿宋" w:cs="仿宋"/>
          <w:sz w:val="32"/>
          <w:szCs w:val="32"/>
          <w:lang w:val="en-US" w:eastAsia="zh-CN"/>
        </w:rPr>
        <w:t>11</w:t>
      </w:r>
      <w:r>
        <w:rPr>
          <w:rFonts w:hint="eastAsia" w:ascii="仿宋" w:hAnsi="仿宋" w:eastAsia="仿宋" w:cs="仿宋"/>
          <w:sz w:val="32"/>
          <w:szCs w:val="32"/>
        </w:rPr>
        <w:t>人</w:t>
      </w:r>
      <w:r>
        <w:rPr>
          <w:rFonts w:hint="eastAsia" w:ascii="仿宋" w:hAnsi="仿宋" w:eastAsia="仿宋" w:cs="仿宋"/>
          <w:sz w:val="32"/>
          <w:szCs w:val="32"/>
          <w:lang w:eastAsia="zh-CN"/>
        </w:rPr>
        <w:t>；本科学历：</w:t>
      </w:r>
      <w:r>
        <w:rPr>
          <w:rFonts w:hint="eastAsia" w:ascii="仿宋" w:hAnsi="仿宋" w:eastAsia="仿宋" w:cs="仿宋"/>
          <w:sz w:val="32"/>
          <w:szCs w:val="32"/>
          <w:lang w:val="en-US" w:eastAsia="zh-CN"/>
        </w:rPr>
        <w:t>5人，</w:t>
      </w:r>
      <w:r>
        <w:rPr>
          <w:rFonts w:hint="eastAsia" w:ascii="仿宋" w:hAnsi="仿宋" w:eastAsia="仿宋" w:cs="仿宋"/>
          <w:sz w:val="32"/>
          <w:szCs w:val="32"/>
        </w:rPr>
        <w:t>中专学历：</w:t>
      </w:r>
      <w:r>
        <w:rPr>
          <w:rFonts w:hint="eastAsia" w:ascii="仿宋" w:hAnsi="仿宋" w:eastAsia="仿宋" w:cs="仿宋"/>
          <w:sz w:val="32"/>
          <w:szCs w:val="32"/>
          <w:lang w:val="en-US" w:eastAsia="zh-CN"/>
        </w:rPr>
        <w:t>6</w:t>
      </w:r>
      <w:r>
        <w:rPr>
          <w:rFonts w:hint="eastAsia" w:ascii="仿宋" w:hAnsi="仿宋" w:eastAsia="仿宋" w:cs="仿宋"/>
          <w:sz w:val="32"/>
          <w:szCs w:val="32"/>
        </w:rPr>
        <w:t>人。工人职称：</w:t>
      </w:r>
      <w:r>
        <w:rPr>
          <w:rFonts w:hint="eastAsia" w:ascii="仿宋" w:hAnsi="仿宋" w:eastAsia="仿宋" w:cs="仿宋"/>
          <w:sz w:val="32"/>
          <w:szCs w:val="32"/>
          <w:lang w:val="en-US" w:eastAsia="zh-CN"/>
        </w:rPr>
        <w:t>2</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 w:hAnsi="仿宋" w:eastAsia="仿宋" w:cs="仿宋"/>
          <w:sz w:val="32"/>
          <w:szCs w:val="32"/>
        </w:rPr>
        <w:t>外聘人员：</w:t>
      </w:r>
      <w:r>
        <w:rPr>
          <w:rFonts w:hint="eastAsia" w:ascii="仿宋" w:hAnsi="仿宋" w:eastAsia="仿宋" w:cs="仿宋"/>
          <w:sz w:val="32"/>
          <w:szCs w:val="32"/>
          <w:lang w:val="en-US" w:eastAsia="zh-CN"/>
        </w:rPr>
        <w:t>19</w:t>
      </w:r>
      <w:r>
        <w:rPr>
          <w:rFonts w:hint="eastAsia" w:ascii="仿宋" w:hAnsi="仿宋" w:eastAsia="仿宋" w:cs="仿宋"/>
          <w:sz w:val="32"/>
          <w:szCs w:val="32"/>
        </w:rPr>
        <w:t>人，其中医疗专业技术人员：</w:t>
      </w:r>
      <w:r>
        <w:rPr>
          <w:rFonts w:hint="eastAsia" w:ascii="仿宋" w:hAnsi="仿宋" w:eastAsia="仿宋" w:cs="仿宋"/>
          <w:sz w:val="32"/>
          <w:szCs w:val="32"/>
          <w:lang w:val="en-US" w:eastAsia="zh-CN"/>
        </w:rPr>
        <w:t>13</w:t>
      </w:r>
      <w:r>
        <w:rPr>
          <w:rFonts w:hint="eastAsia" w:ascii="仿宋" w:hAnsi="仿宋" w:eastAsia="仿宋" w:cs="仿宋"/>
          <w:sz w:val="32"/>
          <w:szCs w:val="32"/>
        </w:rPr>
        <w:t>人，其他</w:t>
      </w:r>
      <w:r>
        <w:rPr>
          <w:rFonts w:hint="eastAsia" w:ascii="仿宋" w:hAnsi="仿宋" w:eastAsia="仿宋" w:cs="仿宋"/>
          <w:sz w:val="32"/>
          <w:szCs w:val="32"/>
          <w:lang w:val="en-US" w:eastAsia="zh-CN"/>
        </w:rPr>
        <w:t>6</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_GB2312" w:hAnsi="仿宋_GB2312" w:eastAsia="仿宋_GB2312"/>
          <w:sz w:val="32"/>
          <w:szCs w:val="32"/>
          <w:lang w:val="en-US" w:eastAsia="zh-CN"/>
        </w:rPr>
        <w:t>村卫生室工作人员5人。</w:t>
      </w:r>
    </w:p>
    <w:p>
      <w:pPr>
        <w:tabs>
          <w:tab w:val="left" w:pos="1318"/>
        </w:tabs>
        <w:rPr>
          <w:rFonts w:hint="eastAsia"/>
          <w:b/>
          <w:sz w:val="32"/>
          <w:szCs w:val="32"/>
        </w:rPr>
      </w:pPr>
    </w:p>
    <w:p>
      <w:pPr>
        <w:spacing w:line="540" w:lineRule="exact"/>
        <w:jc w:val="left"/>
        <w:rPr>
          <w:rFonts w:hint="eastAsia" w:ascii="黑体" w:eastAsia="黑体"/>
          <w:sz w:val="32"/>
          <w:szCs w:val="32"/>
        </w:rPr>
      </w:pPr>
      <w:r>
        <w:rPr>
          <w:rFonts w:hint="eastAsia" w:ascii="黑体" w:eastAsia="黑体"/>
          <w:sz w:val="32"/>
          <w:szCs w:val="32"/>
        </w:rPr>
        <w:t>二、部门决算单位构成</w:t>
      </w:r>
    </w:p>
    <w:p>
      <w:pPr>
        <w:spacing w:line="540" w:lineRule="exact"/>
        <w:jc w:val="left"/>
        <w:rPr>
          <w:rFonts w:hint="eastAsia" w:ascii="仿宋" w:hAnsi="仿宋" w:eastAsia="仿宋" w:cs="仿宋"/>
          <w:sz w:val="32"/>
          <w:szCs w:val="32"/>
          <w:lang w:val="en-US" w:eastAsia="zh-CN"/>
        </w:rPr>
      </w:pPr>
      <w:r>
        <w:rPr>
          <w:rFonts w:hint="eastAsia" w:ascii="仿宋" w:hAnsi="仿宋" w:eastAsia="仿宋" w:cs="仿宋"/>
          <w:sz w:val="32"/>
          <w:szCs w:val="32"/>
        </w:rPr>
        <w:t>纳入本部门决算汇编范围的独立核算单位共</w:t>
      </w:r>
      <w:r>
        <w:rPr>
          <w:rFonts w:hint="eastAsia" w:ascii="仿宋" w:hAnsi="仿宋" w:eastAsia="仿宋" w:cs="仿宋"/>
          <w:sz w:val="32"/>
          <w:szCs w:val="32"/>
          <w:u w:val="none"/>
        </w:rPr>
        <w:t>1</w:t>
      </w:r>
      <w:r>
        <w:rPr>
          <w:rFonts w:hint="eastAsia" w:ascii="仿宋" w:hAnsi="仿宋" w:eastAsia="仿宋" w:cs="仿宋"/>
          <w:sz w:val="32"/>
          <w:szCs w:val="32"/>
        </w:rPr>
        <w:t>个</w:t>
      </w:r>
      <w:r>
        <w:rPr>
          <w:rFonts w:hint="eastAsia" w:ascii="仿宋" w:hAnsi="仿宋" w:eastAsia="仿宋" w:cs="仿宋"/>
          <w:sz w:val="32"/>
          <w:szCs w:val="32"/>
          <w:lang w:val="en-US" w:eastAsia="zh-CN"/>
        </w:rPr>
        <w:t>.</w:t>
      </w:r>
    </w:p>
    <w:p>
      <w:pPr>
        <w:spacing w:line="540" w:lineRule="exact"/>
        <w:ind w:firstLine="640" w:firstLineChars="200"/>
        <w:jc w:val="left"/>
        <w:rPr>
          <w:rFonts w:hint="eastAsia" w:ascii="仿宋_GB2312" w:hAnsi="仿宋_GB2312" w:eastAsia="仿宋_GB2312"/>
          <w:sz w:val="32"/>
          <w:szCs w:val="32"/>
        </w:rPr>
      </w:pPr>
    </w:p>
    <w:p>
      <w:pPr>
        <w:spacing w:line="540" w:lineRule="exact"/>
        <w:ind w:firstLine="723" w:firstLineChars="200"/>
        <w:jc w:val="center"/>
        <w:rPr>
          <w:rFonts w:hint="eastAsia" w:ascii="宋体" w:hAnsi="宋体"/>
          <w:b/>
          <w:sz w:val="36"/>
          <w:szCs w:val="36"/>
        </w:rPr>
      </w:pPr>
      <w:r>
        <w:rPr>
          <w:rFonts w:hint="eastAsia" w:ascii="宋体" w:hAnsi="宋体"/>
          <w:b/>
          <w:sz w:val="36"/>
          <w:szCs w:val="36"/>
        </w:rPr>
        <w:t>第</w:t>
      </w:r>
      <w:r>
        <w:rPr>
          <w:rFonts w:hint="eastAsia" w:ascii="宋体" w:hAnsi="宋体"/>
          <w:b/>
          <w:sz w:val="36"/>
          <w:szCs w:val="36"/>
          <w:lang w:val="en-US" w:eastAsia="zh-CN"/>
        </w:rPr>
        <w:t>二</w:t>
      </w:r>
      <w:r>
        <w:rPr>
          <w:rFonts w:hint="eastAsia" w:ascii="宋体" w:hAnsi="宋体"/>
          <w:b/>
          <w:sz w:val="36"/>
          <w:szCs w:val="36"/>
        </w:rPr>
        <w:t>部分 部门决算情况说明</w:t>
      </w:r>
    </w:p>
    <w:p>
      <w:pPr>
        <w:spacing w:line="540" w:lineRule="exact"/>
        <w:rPr>
          <w:rFonts w:hint="eastAsia" w:ascii="宋体" w:hAnsi="宋体"/>
          <w:b/>
          <w:sz w:val="36"/>
          <w:szCs w:val="36"/>
        </w:rPr>
      </w:pPr>
    </w:p>
    <w:p>
      <w:pPr>
        <w:spacing w:line="540" w:lineRule="exact"/>
        <w:ind w:firstLine="627" w:firstLineChars="196"/>
        <w:rPr>
          <w:rFonts w:hint="eastAsia" w:ascii="黑体" w:hAnsi="黑体" w:eastAsia="黑体"/>
          <w:sz w:val="32"/>
          <w:szCs w:val="32"/>
          <w:lang w:eastAsia="zh-CN"/>
        </w:rPr>
      </w:pPr>
      <w:r>
        <w:rPr>
          <w:rFonts w:hint="eastAsia" w:ascii="黑体" w:hAnsi="黑体" w:eastAsia="黑体"/>
          <w:sz w:val="32"/>
          <w:szCs w:val="32"/>
        </w:rPr>
        <w:t>一、收入支出决算总体情况</w:t>
      </w:r>
      <w:r>
        <w:rPr>
          <w:rFonts w:hint="eastAsia" w:ascii="黑体" w:hAnsi="黑体" w:eastAsia="黑体"/>
          <w:sz w:val="32"/>
          <w:szCs w:val="32"/>
          <w:lang w:eastAsia="zh-CN"/>
        </w:rPr>
        <w:t>说明</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（一）收入总计</w:t>
      </w:r>
      <w:r>
        <w:rPr>
          <w:rFonts w:hint="eastAsia" w:ascii="楷体_GB2312" w:hAnsi="宋体" w:eastAsia="楷体_GB2312"/>
          <w:b/>
          <w:sz w:val="32"/>
          <w:szCs w:val="32"/>
          <w:lang w:val="en-US" w:eastAsia="zh-CN"/>
        </w:rPr>
        <w:t>287.24</w:t>
      </w:r>
      <w:r>
        <w:rPr>
          <w:rFonts w:hint="eastAsia" w:ascii="楷体_GB2312" w:hAnsi="宋体" w:eastAsia="楷体_GB2312"/>
          <w:b/>
          <w:sz w:val="32"/>
          <w:szCs w:val="32"/>
        </w:rPr>
        <w:t>万元，包括：</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1.财政拨款收入</w:t>
      </w:r>
      <w:r>
        <w:rPr>
          <w:rFonts w:hint="eastAsia" w:ascii="楷体_GB2312" w:hAnsi="宋体" w:eastAsia="楷体_GB2312"/>
          <w:b/>
          <w:sz w:val="32"/>
          <w:szCs w:val="32"/>
          <w:lang w:val="en-US" w:eastAsia="zh-CN"/>
        </w:rPr>
        <w:t>10</w:t>
      </w:r>
      <w:r>
        <w:rPr>
          <w:rFonts w:hint="eastAsia" w:ascii="仿宋_GB2312" w:hAnsi="宋体" w:eastAsia="仿宋_GB2312"/>
          <w:sz w:val="32"/>
          <w:szCs w:val="32"/>
        </w:rPr>
        <w:t>万元，占</w:t>
      </w:r>
      <w:r>
        <w:rPr>
          <w:rFonts w:ascii="仿宋_GB2312" w:hAnsi="宋体" w:eastAsia="仿宋_GB2312"/>
          <w:sz w:val="32"/>
          <w:szCs w:val="32"/>
        </w:rPr>
        <w:t>收入总计的</w:t>
      </w:r>
      <w:r>
        <w:rPr>
          <w:rFonts w:hint="eastAsia" w:ascii="仿宋_GB2312" w:hAnsi="宋体" w:eastAsia="仿宋_GB2312"/>
          <w:sz w:val="32"/>
          <w:szCs w:val="32"/>
          <w:lang w:val="en-US" w:eastAsia="zh-CN"/>
        </w:rPr>
        <w:t>3.5</w:t>
      </w:r>
      <w:r>
        <w:rPr>
          <w:rFonts w:ascii="仿宋_GB2312" w:hAnsi="宋体" w:eastAsia="仿宋_GB2312"/>
          <w:sz w:val="32"/>
          <w:szCs w:val="32"/>
        </w:rPr>
        <w:t>%</w:t>
      </w:r>
      <w:r>
        <w:rPr>
          <w:rFonts w:hint="eastAsia" w:ascii="仿宋_GB2312" w:hAnsi="宋体" w:eastAsia="仿宋_GB2312"/>
          <w:sz w:val="32"/>
          <w:szCs w:val="32"/>
        </w:rPr>
        <w:t>。其中：</w:t>
      </w:r>
      <w:r>
        <w:rPr>
          <w:rFonts w:hint="eastAsia" w:ascii="仿宋_GB2312" w:hAnsi="宋体" w:eastAsia="仿宋_GB2312"/>
          <w:sz w:val="32"/>
          <w:szCs w:val="32"/>
          <w:lang w:val="en-US" w:eastAsia="zh-CN"/>
        </w:rPr>
        <w:t>一般</w:t>
      </w:r>
      <w:r>
        <w:rPr>
          <w:rFonts w:hint="eastAsia" w:ascii="仿宋_GB2312" w:hAnsi="宋体" w:eastAsia="仿宋_GB2312"/>
          <w:sz w:val="32"/>
          <w:szCs w:val="32"/>
        </w:rPr>
        <w:t>公共预算财政拨款收入</w:t>
      </w:r>
      <w:r>
        <w:rPr>
          <w:rFonts w:hint="eastAsia" w:ascii="楷体_GB2312" w:hAnsi="宋体" w:eastAsia="楷体_GB2312"/>
          <w:b/>
          <w:sz w:val="32"/>
          <w:szCs w:val="32"/>
          <w:lang w:val="en-US" w:eastAsia="zh-CN"/>
        </w:rPr>
        <w:t>10</w:t>
      </w:r>
      <w:r>
        <w:rPr>
          <w:rFonts w:hint="eastAsia" w:ascii="仿宋_GB2312" w:hAnsi="宋体" w:eastAsia="仿宋_GB2312"/>
          <w:sz w:val="32"/>
          <w:szCs w:val="32"/>
        </w:rPr>
        <w:t>万元，政府性基金收入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元</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国有资本经营预算财政拨款收入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2.上级补助收入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3.事业收入</w:t>
      </w:r>
      <w:r>
        <w:rPr>
          <w:rFonts w:hint="eastAsia" w:ascii="仿宋_GB2312" w:hAnsi="宋体" w:eastAsia="仿宋_GB2312"/>
          <w:sz w:val="32"/>
          <w:szCs w:val="32"/>
          <w:lang w:val="en-US" w:eastAsia="zh-CN"/>
        </w:rPr>
        <w:t>277.24</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96.5</w:t>
      </w:r>
      <w:r>
        <w:rPr>
          <w:rFonts w:hint="eastAsia" w:ascii="仿宋_GB2312" w:hAnsi="宋体" w:eastAsia="仿宋_GB2312"/>
          <w:sz w:val="32"/>
          <w:szCs w:val="32"/>
        </w:rPr>
        <w:t>%。主</w:t>
      </w:r>
      <w:r>
        <w:rPr>
          <w:rFonts w:hint="eastAsia" w:ascii="仿宋_GB2312" w:hAnsi="宋体" w:eastAsia="仿宋_GB2312"/>
          <w:sz w:val="32"/>
          <w:szCs w:val="32"/>
          <w:lang w:eastAsia="zh-CN"/>
        </w:rPr>
        <w:t>要是医疗</w:t>
      </w:r>
      <w:r>
        <w:rPr>
          <w:rFonts w:hint="eastAsia" w:ascii="仿宋_GB2312" w:hAnsi="宋体" w:eastAsia="仿宋_GB2312"/>
          <w:sz w:val="32"/>
          <w:szCs w:val="32"/>
        </w:rPr>
        <w:t>收入。</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6.其他收入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w:t>
      </w:r>
      <w:r>
        <w:rPr>
          <w:rFonts w:hint="eastAsia" w:ascii="仿宋_GB2312" w:hAnsi="宋体" w:eastAsia="仿宋_GB2312"/>
          <w:sz w:val="32"/>
          <w:szCs w:val="32"/>
          <w:lang w:val="en-US" w:eastAsia="zh-CN"/>
        </w:rPr>
        <w:t>使用非财政拨款结余0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default" w:ascii="仿宋" w:hAnsi="仿宋" w:eastAsia="仿宋" w:cs="仿宋"/>
          <w:sz w:val="32"/>
          <w:szCs w:val="32"/>
          <w:lang w:val="en-US" w:eastAsia="zh-CN"/>
        </w:rPr>
      </w:pPr>
      <w:r>
        <w:rPr>
          <w:rFonts w:hint="eastAsia" w:ascii="仿宋_GB2312" w:hAnsi="宋体" w:eastAsia="仿宋_GB2312"/>
          <w:sz w:val="32"/>
          <w:szCs w:val="32"/>
        </w:rPr>
        <w:t>与上年相比，今年</w:t>
      </w:r>
      <w:r>
        <w:rPr>
          <w:rFonts w:hint="eastAsia" w:ascii="仿宋_GB2312" w:hAnsi="宋体" w:eastAsia="仿宋_GB2312"/>
          <w:sz w:val="32"/>
          <w:szCs w:val="32"/>
          <w:lang w:val="en-US" w:eastAsia="zh-CN"/>
        </w:rPr>
        <w:t>收入</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14.92</w:t>
      </w:r>
      <w:r>
        <w:rPr>
          <w:rFonts w:hint="eastAsia" w:ascii="仿宋_GB2312" w:hAnsi="宋体" w:eastAsia="仿宋_GB2312"/>
          <w:sz w:val="32"/>
          <w:szCs w:val="32"/>
        </w:rPr>
        <w:t>万元，</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4.94%</w:t>
      </w:r>
      <w:r>
        <w:rPr>
          <w:rFonts w:hint="eastAsia" w:ascii="仿宋_GB2312" w:hAnsi="宋体" w:eastAsia="仿宋_GB2312"/>
          <w:sz w:val="32"/>
          <w:szCs w:val="32"/>
        </w:rPr>
        <w:t>，主要原因：</w:t>
      </w:r>
      <w:r>
        <w:rPr>
          <w:rFonts w:hint="eastAsia" w:ascii="仿宋_GB2312" w:hAnsi="宋体" w:eastAsia="仿宋_GB2312"/>
          <w:sz w:val="32"/>
          <w:szCs w:val="32"/>
          <w:lang w:eastAsia="zh-CN"/>
        </w:rPr>
        <w:t>疫情影响，业务量减少</w:t>
      </w:r>
      <w:r>
        <w:rPr>
          <w:rFonts w:hint="eastAsia" w:ascii="仿宋_GB2312" w:hAnsi="宋体" w:eastAsia="仿宋_GB2312"/>
          <w:sz w:val="32"/>
          <w:szCs w:val="32"/>
          <w:lang w:val="en-US" w:eastAsia="zh-CN"/>
        </w:rPr>
        <w:t>.</w:t>
      </w:r>
    </w:p>
    <w:p>
      <w:pPr>
        <w:spacing w:line="540" w:lineRule="exact"/>
        <w:ind w:firstLine="660"/>
        <w:rPr>
          <w:rFonts w:hint="eastAsia" w:ascii="仿宋_GB2312" w:hAnsi="宋体" w:eastAsia="仿宋_GB2312"/>
          <w:sz w:val="32"/>
          <w:szCs w:val="32"/>
        </w:rPr>
      </w:pP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（二）支出总计</w:t>
      </w:r>
      <w:r>
        <w:rPr>
          <w:rFonts w:hint="eastAsia" w:ascii="楷体_GB2312" w:hAnsi="宋体" w:eastAsia="楷体_GB2312"/>
          <w:b/>
          <w:sz w:val="32"/>
          <w:szCs w:val="32"/>
          <w:lang w:val="en-US" w:eastAsia="zh-CN"/>
        </w:rPr>
        <w:t>287.24</w:t>
      </w:r>
      <w:r>
        <w:rPr>
          <w:rFonts w:hint="eastAsia" w:ascii="楷体_GB2312" w:hAnsi="宋体" w:eastAsia="楷体_GB2312"/>
          <w:b/>
          <w:sz w:val="32"/>
          <w:szCs w:val="32"/>
        </w:rPr>
        <w:t>万元，包括：</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1.基本支出</w:t>
      </w:r>
      <w:r>
        <w:rPr>
          <w:rFonts w:hint="eastAsia" w:ascii="仿宋_GB2312" w:hAnsi="宋体" w:eastAsia="仿宋_GB2312"/>
          <w:sz w:val="32"/>
          <w:szCs w:val="32"/>
          <w:lang w:val="en-US" w:eastAsia="zh-CN"/>
        </w:rPr>
        <w:t>287.24</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%。主要是为保障机构正常运转、完成日常工作任务而发生的各项支出，其中：工资福利支出</w:t>
      </w:r>
      <w:r>
        <w:rPr>
          <w:rFonts w:hint="eastAsia" w:ascii="楷体_GB2312" w:hAnsi="宋体" w:eastAsia="楷体_GB2312"/>
          <w:b/>
          <w:sz w:val="32"/>
          <w:szCs w:val="32"/>
          <w:lang w:val="en-US" w:eastAsia="zh-CN"/>
        </w:rPr>
        <w:t>223.68</w:t>
      </w:r>
      <w:r>
        <w:rPr>
          <w:rFonts w:hint="eastAsia" w:ascii="仿宋_GB2312" w:hAnsi="宋体" w:eastAsia="仿宋_GB2312"/>
          <w:sz w:val="32"/>
          <w:szCs w:val="32"/>
        </w:rPr>
        <w:t>万元，对个人和家庭的补助支出</w:t>
      </w:r>
      <w:r>
        <w:rPr>
          <w:rFonts w:hint="eastAsia" w:ascii="楷体_GB2312" w:hAnsi="宋体" w:eastAsia="楷体_GB2312"/>
          <w:b/>
          <w:sz w:val="32"/>
          <w:szCs w:val="32"/>
          <w:lang w:val="en-US" w:eastAsia="zh-CN"/>
        </w:rPr>
        <w:t>12.49</w:t>
      </w:r>
      <w:r>
        <w:rPr>
          <w:rFonts w:hint="eastAsia" w:ascii="仿宋_GB2312" w:hAnsi="宋体" w:eastAsia="仿宋_GB2312"/>
          <w:sz w:val="32"/>
          <w:szCs w:val="32"/>
        </w:rPr>
        <w:t>万元，商品和服务支出</w:t>
      </w:r>
      <w:r>
        <w:rPr>
          <w:rFonts w:hint="eastAsia" w:ascii="楷体_GB2312" w:hAnsi="宋体" w:eastAsia="楷体_GB2312"/>
          <w:b/>
          <w:sz w:val="32"/>
          <w:szCs w:val="32"/>
          <w:lang w:val="en-US" w:eastAsia="zh-CN"/>
        </w:rPr>
        <w:t>51.07</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4.经营支出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default" w:ascii="仿宋" w:hAnsi="仿宋" w:eastAsia="仿宋" w:cs="仿宋"/>
          <w:sz w:val="32"/>
          <w:szCs w:val="32"/>
          <w:lang w:val="en-US" w:eastAsia="zh-CN"/>
        </w:rPr>
      </w:pPr>
      <w:r>
        <w:rPr>
          <w:rFonts w:hint="eastAsia" w:ascii="仿宋_GB2312" w:hAnsi="宋体" w:eastAsia="仿宋_GB2312"/>
          <w:sz w:val="32"/>
          <w:szCs w:val="32"/>
        </w:rPr>
        <w:t>与上年相比，今年支出</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14.92</w:t>
      </w:r>
      <w:r>
        <w:rPr>
          <w:rFonts w:hint="eastAsia" w:ascii="仿宋_GB2312" w:hAnsi="宋体" w:eastAsia="仿宋_GB2312"/>
          <w:sz w:val="32"/>
          <w:szCs w:val="32"/>
        </w:rPr>
        <w:t>万元，</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4.94%</w:t>
      </w:r>
      <w:r>
        <w:rPr>
          <w:rFonts w:hint="eastAsia" w:ascii="仿宋_GB2312" w:hAnsi="宋体" w:eastAsia="仿宋_GB2312"/>
          <w:sz w:val="32"/>
          <w:szCs w:val="32"/>
        </w:rPr>
        <w:t>，主要原因：</w:t>
      </w:r>
      <w:r>
        <w:rPr>
          <w:rFonts w:hint="eastAsia" w:ascii="仿宋_GB2312" w:hAnsi="宋体" w:eastAsia="仿宋_GB2312"/>
          <w:sz w:val="32"/>
          <w:szCs w:val="32"/>
          <w:lang w:eastAsia="zh-CN"/>
        </w:rPr>
        <w:t>疫情影响，业务量减少，支出减少</w:t>
      </w:r>
      <w:r>
        <w:rPr>
          <w:rFonts w:hint="eastAsia" w:ascii="仿宋_GB2312" w:hAnsi="宋体" w:eastAsia="仿宋_GB2312"/>
          <w:sz w:val="32"/>
          <w:szCs w:val="32"/>
          <w:lang w:val="en-US" w:eastAsia="zh-CN"/>
        </w:rPr>
        <w:t>.</w:t>
      </w:r>
    </w:p>
    <w:p>
      <w:pPr>
        <w:numPr>
          <w:ilvl w:val="0"/>
          <w:numId w:val="2"/>
        </w:num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年末结转和结余</w:t>
      </w:r>
      <w:r>
        <w:rPr>
          <w:rFonts w:hint="eastAsia" w:ascii="楷体_GB2312" w:hAnsi="宋体" w:eastAsia="楷体_GB2312"/>
          <w:b/>
          <w:sz w:val="32"/>
          <w:szCs w:val="32"/>
          <w:lang w:val="en-US" w:eastAsia="zh-CN"/>
        </w:rPr>
        <w:t>0</w:t>
      </w:r>
      <w:r>
        <w:rPr>
          <w:rFonts w:hint="eastAsia" w:ascii="楷体_GB2312" w:hAnsi="宋体" w:eastAsia="楷体_GB2312"/>
          <w:b/>
          <w:sz w:val="32"/>
          <w:szCs w:val="32"/>
        </w:rPr>
        <w:t>万元。</w:t>
      </w:r>
    </w:p>
    <w:p>
      <w:pPr>
        <w:spacing w:line="540" w:lineRule="exact"/>
        <w:ind w:firstLine="66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比上年增减0万元。</w:t>
      </w:r>
    </w:p>
    <w:p>
      <w:pPr>
        <w:spacing w:line="540" w:lineRule="exact"/>
        <w:ind w:firstLine="660"/>
        <w:rPr>
          <w:rFonts w:hint="eastAsia" w:ascii="黑体" w:hAnsi="黑体" w:eastAsia="黑体"/>
          <w:sz w:val="32"/>
          <w:szCs w:val="32"/>
          <w:lang w:eastAsia="zh-CN"/>
        </w:rPr>
      </w:pPr>
      <w:r>
        <w:rPr>
          <w:rFonts w:hint="eastAsia" w:ascii="黑体" w:hAnsi="黑体" w:eastAsia="黑体"/>
          <w:sz w:val="32"/>
          <w:szCs w:val="32"/>
        </w:rPr>
        <w:t>二、财政拨款支出决算情况</w:t>
      </w:r>
      <w:r>
        <w:rPr>
          <w:rFonts w:hint="eastAsia" w:ascii="黑体" w:hAnsi="黑体" w:eastAsia="黑体"/>
          <w:sz w:val="32"/>
          <w:szCs w:val="32"/>
          <w:lang w:eastAsia="zh-CN"/>
        </w:rPr>
        <w:t>说明</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（一）总体情况。</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年度财政拨款支出</w:t>
      </w:r>
      <w:r>
        <w:rPr>
          <w:rFonts w:hint="eastAsia" w:ascii="楷体_GB2312" w:hAnsi="宋体" w:eastAsia="楷体_GB2312"/>
          <w:b/>
          <w:sz w:val="32"/>
          <w:szCs w:val="32"/>
          <w:lang w:val="en-US" w:eastAsia="zh-CN"/>
        </w:rPr>
        <w:t>10</w:t>
      </w:r>
      <w:r>
        <w:rPr>
          <w:rFonts w:hint="eastAsia" w:ascii="仿宋_GB2312" w:hAnsi="宋体" w:eastAsia="仿宋_GB2312"/>
          <w:sz w:val="32"/>
          <w:szCs w:val="32"/>
        </w:rPr>
        <w:t>万元，其中：基本支出</w:t>
      </w:r>
      <w:r>
        <w:rPr>
          <w:rFonts w:hint="eastAsia" w:ascii="楷体_GB2312" w:hAnsi="宋体" w:eastAsia="楷体_GB2312"/>
          <w:b/>
          <w:sz w:val="32"/>
          <w:szCs w:val="32"/>
          <w:lang w:val="en-US" w:eastAsia="zh-CN"/>
        </w:rPr>
        <w:t>10</w:t>
      </w:r>
      <w:r>
        <w:rPr>
          <w:rFonts w:hint="eastAsia" w:ascii="仿宋_GB2312" w:hAnsi="宋体" w:eastAsia="仿宋_GB2312"/>
          <w:sz w:val="32"/>
          <w:szCs w:val="32"/>
        </w:rPr>
        <w:t>万元，项目支出</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万元。与</w:t>
      </w:r>
      <w:r>
        <w:rPr>
          <w:rFonts w:ascii="仿宋_GB2312" w:hAnsi="宋体" w:eastAsia="仿宋_GB2312"/>
          <w:sz w:val="32"/>
          <w:szCs w:val="32"/>
        </w:rPr>
        <w:t>上年相比，</w:t>
      </w:r>
      <w:r>
        <w:rPr>
          <w:rFonts w:hint="eastAsia" w:ascii="仿宋_GB2312" w:hAnsi="宋体" w:eastAsia="仿宋_GB2312"/>
          <w:sz w:val="32"/>
          <w:szCs w:val="32"/>
        </w:rPr>
        <w:t>财政拨款支出</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32</w:t>
      </w:r>
      <w:r>
        <w:rPr>
          <w:rFonts w:hint="eastAsia" w:ascii="仿宋_GB2312" w:hAnsi="宋体" w:eastAsia="仿宋_GB2312"/>
          <w:sz w:val="32"/>
          <w:szCs w:val="32"/>
        </w:rPr>
        <w:t>万元，</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76%</w:t>
      </w:r>
      <w:r>
        <w:rPr>
          <w:rFonts w:hint="eastAsia" w:ascii="仿宋_GB2312" w:hAnsi="宋体" w:eastAsia="仿宋_GB2312"/>
          <w:sz w:val="32"/>
          <w:szCs w:val="32"/>
        </w:rPr>
        <w:t>主要原因：</w:t>
      </w:r>
      <w:r>
        <w:rPr>
          <w:rFonts w:hint="eastAsia" w:ascii="仿宋" w:hAnsi="仿宋" w:eastAsia="仿宋" w:cs="仿宋"/>
          <w:sz w:val="32"/>
          <w:szCs w:val="32"/>
          <w:lang w:eastAsia="zh-CN"/>
        </w:rPr>
        <w:t>财政拨款减少</w:t>
      </w:r>
      <w:r>
        <w:rPr>
          <w:rFonts w:hint="eastAsia" w:ascii="仿宋" w:hAnsi="仿宋" w:eastAsia="仿宋" w:cs="仿宋"/>
          <w:sz w:val="32"/>
          <w:szCs w:val="32"/>
          <w:lang w:val="en-US" w:eastAsia="zh-CN"/>
        </w:rPr>
        <w:t>.</w:t>
      </w:r>
      <w:r>
        <w:rPr>
          <w:rFonts w:hint="eastAsia" w:ascii="仿宋_GB2312" w:hAnsi="宋体" w:eastAsia="仿宋_GB2312"/>
          <w:sz w:val="32"/>
          <w:szCs w:val="32"/>
        </w:rPr>
        <w:t>与年初预算相比，</w:t>
      </w:r>
      <w:r>
        <w:rPr>
          <w:rFonts w:hint="eastAsia" w:ascii="仿宋_GB2312" w:hAnsi="宋体" w:eastAsia="仿宋_GB2312"/>
          <w:sz w:val="32"/>
          <w:szCs w:val="32"/>
          <w:lang w:eastAsia="zh-CN"/>
        </w:rPr>
        <w:t>2021</w:t>
      </w:r>
      <w:r>
        <w:rPr>
          <w:rFonts w:hint="eastAsia" w:ascii="仿宋_GB2312" w:hAnsi="宋体" w:eastAsia="仿宋_GB2312"/>
          <w:sz w:val="32"/>
          <w:szCs w:val="32"/>
          <w:lang w:val="en-US" w:eastAsia="zh-CN"/>
        </w:rPr>
        <w:t>年度</w:t>
      </w:r>
      <w:r>
        <w:rPr>
          <w:rFonts w:hint="eastAsia" w:ascii="仿宋_GB2312" w:hAnsi="宋体" w:eastAsia="仿宋_GB2312"/>
          <w:sz w:val="32"/>
          <w:szCs w:val="32"/>
        </w:rPr>
        <w:t>财政拨款支出完成年初预算的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其中：基本支出完成年初预算的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，项目完成年初预算的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w:t>
      </w:r>
      <w:r>
        <w:rPr>
          <w:rFonts w:hint="eastAsia" w:ascii="楷体_GB2312" w:hAnsi="宋体" w:eastAsia="楷体_GB2312"/>
          <w:b/>
          <w:sz w:val="32"/>
          <w:szCs w:val="32"/>
          <w:lang w:val="en-US" w:eastAsia="zh-CN"/>
        </w:rPr>
        <w:t>一般公共预算财政拨款支出</w:t>
      </w:r>
      <w:r>
        <w:rPr>
          <w:rFonts w:hint="eastAsia" w:ascii="楷体_GB2312" w:hAnsi="宋体" w:eastAsia="楷体_GB2312"/>
          <w:b/>
          <w:sz w:val="32"/>
          <w:szCs w:val="32"/>
        </w:rPr>
        <w:t>情况。</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年度一般公共预算财政拨款支出</w:t>
      </w:r>
      <w:r>
        <w:rPr>
          <w:rFonts w:hint="eastAsia" w:ascii="楷体_GB2312" w:hAnsi="宋体" w:eastAsia="楷体_GB2312"/>
          <w:b/>
          <w:sz w:val="32"/>
          <w:szCs w:val="32"/>
          <w:lang w:val="en-US" w:eastAsia="zh-CN"/>
        </w:rPr>
        <w:t>10</w:t>
      </w:r>
      <w:r>
        <w:rPr>
          <w:rFonts w:hint="eastAsia" w:ascii="仿宋_GB2312" w:hAnsi="宋体" w:eastAsia="仿宋_GB2312"/>
          <w:sz w:val="32"/>
          <w:szCs w:val="32"/>
        </w:rPr>
        <w:t>万元，按支出功能分类科目分，包括：</w:t>
      </w:r>
      <w:r>
        <w:rPr>
          <w:rFonts w:hint="eastAsia" w:ascii="仿宋_GB2312" w:hAnsi="宋体" w:eastAsia="仿宋_GB2312"/>
          <w:sz w:val="32"/>
          <w:szCs w:val="32"/>
          <w:lang w:eastAsia="zh-CN"/>
        </w:rPr>
        <w:t>基本支出</w:t>
      </w:r>
      <w:r>
        <w:rPr>
          <w:rFonts w:hint="eastAsia" w:ascii="仿宋_GB2312" w:hAnsi="宋体" w:eastAsia="仿宋_GB2312"/>
          <w:sz w:val="32"/>
          <w:szCs w:val="32"/>
          <w:lang w:val="en-US" w:eastAsia="zh-CN"/>
        </w:rPr>
        <w:t>10万,占</w:t>
      </w:r>
      <w:r>
        <w:rPr>
          <w:rFonts w:hint="eastAsia" w:ascii="仿宋_GB2312" w:hAnsi="宋体" w:eastAsia="仿宋_GB2312"/>
          <w:sz w:val="32"/>
          <w:szCs w:val="32"/>
        </w:rPr>
        <w:t>一般公共预算财政拨款支出</w:t>
      </w:r>
      <w:r>
        <w:rPr>
          <w:rFonts w:hint="eastAsia" w:ascii="仿宋_GB2312" w:hAnsi="宋体" w:eastAsia="仿宋_GB2312"/>
          <w:sz w:val="32"/>
          <w:szCs w:val="32"/>
          <w:lang w:eastAsia="zh-CN"/>
        </w:rPr>
        <w:t>的</w:t>
      </w:r>
      <w:r>
        <w:rPr>
          <w:rFonts w:hint="eastAsia" w:ascii="仿宋_GB2312" w:hAnsi="宋体" w:eastAsia="仿宋_GB2312"/>
          <w:sz w:val="32"/>
          <w:szCs w:val="32"/>
          <w:lang w:val="en-US" w:eastAsia="zh-CN"/>
        </w:rPr>
        <w:t>100%</w:t>
      </w:r>
    </w:p>
    <w:p>
      <w:pPr>
        <w:spacing w:line="540" w:lineRule="exact"/>
        <w:ind w:firstLine="66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基本支出包括:人员经费中的基本工资支出10万元,占基本支出100%</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w:t>
      </w:r>
      <w:r>
        <w:rPr>
          <w:rFonts w:hint="eastAsia" w:ascii="楷体_GB2312" w:hAnsi="宋体" w:eastAsia="楷体_GB2312"/>
          <w:b/>
          <w:sz w:val="32"/>
          <w:szCs w:val="32"/>
          <w:lang w:val="en-US" w:eastAsia="zh-CN"/>
        </w:rPr>
        <w:t>三</w:t>
      </w:r>
      <w:r>
        <w:rPr>
          <w:rFonts w:hint="eastAsia" w:ascii="楷体_GB2312" w:hAnsi="宋体" w:eastAsia="楷体_GB2312"/>
          <w:b/>
          <w:sz w:val="32"/>
          <w:szCs w:val="32"/>
        </w:rPr>
        <w:t>）</w:t>
      </w:r>
      <w:r>
        <w:rPr>
          <w:rFonts w:hint="eastAsia" w:ascii="楷体_GB2312" w:hAnsi="宋体" w:eastAsia="楷体_GB2312"/>
          <w:b/>
          <w:sz w:val="32"/>
          <w:szCs w:val="32"/>
          <w:lang w:val="en-US" w:eastAsia="zh-CN"/>
        </w:rPr>
        <w:t>政府性基金预算财政拨款支出</w:t>
      </w:r>
      <w:r>
        <w:rPr>
          <w:rFonts w:hint="eastAsia" w:ascii="楷体_GB2312" w:hAnsi="宋体" w:eastAsia="楷体_GB2312"/>
          <w:b/>
          <w:sz w:val="32"/>
          <w:szCs w:val="32"/>
        </w:rPr>
        <w:t>情况。</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年度政府性基金预算财政拨款支出</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.与年初预算数、上年数保持一致。</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w:t>
      </w:r>
      <w:r>
        <w:rPr>
          <w:rFonts w:hint="eastAsia" w:ascii="楷体_GB2312" w:hAnsi="宋体" w:eastAsia="楷体_GB2312"/>
          <w:b/>
          <w:sz w:val="32"/>
          <w:szCs w:val="32"/>
          <w:lang w:val="en-US" w:eastAsia="zh-CN"/>
        </w:rPr>
        <w:t>四</w:t>
      </w:r>
      <w:r>
        <w:rPr>
          <w:rFonts w:hint="eastAsia" w:ascii="楷体_GB2312" w:hAnsi="宋体" w:eastAsia="楷体_GB2312"/>
          <w:b/>
          <w:sz w:val="32"/>
          <w:szCs w:val="32"/>
        </w:rPr>
        <w:t>）</w:t>
      </w:r>
      <w:r>
        <w:rPr>
          <w:rFonts w:hint="eastAsia" w:ascii="楷体_GB2312" w:hAnsi="宋体" w:eastAsia="楷体_GB2312"/>
          <w:b/>
          <w:sz w:val="32"/>
          <w:szCs w:val="32"/>
          <w:lang w:val="en-US" w:eastAsia="zh-CN"/>
        </w:rPr>
        <w:t>国有资本经营预算财政拨款支出</w:t>
      </w:r>
      <w:r>
        <w:rPr>
          <w:rFonts w:hint="eastAsia" w:ascii="楷体_GB2312" w:hAnsi="宋体" w:eastAsia="楷体_GB2312"/>
          <w:b/>
          <w:sz w:val="32"/>
          <w:szCs w:val="32"/>
        </w:rPr>
        <w:t>情况。</w:t>
      </w:r>
    </w:p>
    <w:p>
      <w:pPr>
        <w:spacing w:line="540" w:lineRule="exact"/>
        <w:ind w:firstLine="660"/>
        <w:rPr>
          <w:rFonts w:hint="default" w:ascii="仿宋_GB2312" w:hAnsi="宋体" w:eastAsia="仿宋_GB2312"/>
          <w:sz w:val="32"/>
          <w:szCs w:val="32"/>
          <w:lang w:val="en-US" w:eastAsia="zh-CN"/>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年度国有资本经营预算财政拨款支出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与年初预算数、上年数保持一致。</w:t>
      </w:r>
    </w:p>
    <w:p>
      <w:pPr>
        <w:spacing w:line="540" w:lineRule="exact"/>
        <w:ind w:firstLine="660"/>
        <w:rPr>
          <w:rFonts w:hint="eastAsia" w:ascii="黑体" w:hAnsi="黑体" w:eastAsia="黑体"/>
          <w:sz w:val="32"/>
          <w:szCs w:val="32"/>
          <w:lang w:eastAsia="zh-CN"/>
        </w:rPr>
      </w:pPr>
      <w:r>
        <w:rPr>
          <w:rFonts w:hint="eastAsia" w:ascii="黑体" w:hAnsi="黑体" w:eastAsia="黑体"/>
          <w:sz w:val="32"/>
          <w:szCs w:val="32"/>
        </w:rPr>
        <w:t>三、一般公共预算财政拨款“三公”经费支出决算情况</w:t>
      </w:r>
      <w:r>
        <w:rPr>
          <w:rFonts w:hint="eastAsia" w:ascii="黑体" w:hAnsi="黑体" w:eastAsia="黑体"/>
          <w:sz w:val="32"/>
          <w:szCs w:val="32"/>
          <w:lang w:eastAsia="zh-CN"/>
        </w:rPr>
        <w:t>说明</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2021年度一般公共预算财政拨款安排的“三公”经费支出</w:t>
      </w:r>
      <w:r>
        <w:rPr>
          <w:rFonts w:hint="eastAsia" w:ascii="楷体_GB2312" w:hAnsi="宋体" w:eastAsia="楷体_GB2312"/>
          <w:b/>
          <w:sz w:val="32"/>
          <w:szCs w:val="32"/>
        </w:rPr>
        <w:t>0</w:t>
      </w:r>
      <w:r>
        <w:rPr>
          <w:rFonts w:hint="eastAsia" w:ascii="仿宋_GB2312" w:hAnsi="宋体" w:eastAsia="仿宋_GB2312"/>
          <w:sz w:val="32"/>
          <w:szCs w:val="32"/>
        </w:rPr>
        <w:t>万元，完成年初预算的100%。其中：因公出国（境）费</w:t>
      </w:r>
      <w:r>
        <w:rPr>
          <w:rFonts w:hint="eastAsia" w:ascii="楷体_GB2312" w:hAnsi="宋体" w:eastAsia="楷体_GB2312"/>
          <w:b/>
          <w:sz w:val="32"/>
          <w:szCs w:val="32"/>
        </w:rPr>
        <w:t>0</w:t>
      </w:r>
      <w:r>
        <w:rPr>
          <w:rFonts w:hint="eastAsia" w:ascii="仿宋_GB2312" w:hAnsi="宋体" w:eastAsia="仿宋_GB2312"/>
          <w:sz w:val="32"/>
          <w:szCs w:val="32"/>
        </w:rPr>
        <w:t>万元，公务接待费</w:t>
      </w:r>
      <w:r>
        <w:rPr>
          <w:rFonts w:hint="eastAsia" w:ascii="楷体_GB2312" w:hAnsi="宋体" w:eastAsia="楷体_GB2312"/>
          <w:b/>
          <w:sz w:val="32"/>
          <w:szCs w:val="32"/>
        </w:rPr>
        <w:t>0</w:t>
      </w:r>
      <w:r>
        <w:rPr>
          <w:rFonts w:hint="eastAsia" w:ascii="仿宋_GB2312" w:hAnsi="宋体" w:eastAsia="仿宋_GB2312"/>
          <w:sz w:val="32"/>
          <w:szCs w:val="32"/>
        </w:rPr>
        <w:t>万元，公务用车购置及运行维护费</w:t>
      </w:r>
      <w:r>
        <w:rPr>
          <w:rFonts w:hint="eastAsia" w:ascii="楷体_GB2312" w:hAnsi="宋体" w:eastAsia="楷体_GB2312"/>
          <w:b/>
          <w:sz w:val="32"/>
          <w:szCs w:val="32"/>
        </w:rPr>
        <w:t>0</w:t>
      </w:r>
      <w:r>
        <w:rPr>
          <w:rFonts w:hint="eastAsia" w:ascii="仿宋_GB2312" w:hAnsi="宋体" w:eastAsia="仿宋_GB2312"/>
          <w:sz w:val="32"/>
          <w:szCs w:val="32"/>
        </w:rPr>
        <w:t>万元。</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1.因公出国（境）费0万元，占“三公”经费支出的0%。完成年初预算的100%。2021年参加出国（境）团组0个，累计0人次。2021年因公出国（境）费与上年比无变化。</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2.公务接待费</w:t>
      </w:r>
      <w:r>
        <w:rPr>
          <w:rFonts w:hint="eastAsia" w:ascii="楷体_GB2312" w:hAnsi="宋体" w:eastAsia="楷体_GB2312"/>
          <w:b/>
          <w:sz w:val="32"/>
          <w:szCs w:val="32"/>
        </w:rPr>
        <w:t>0</w:t>
      </w:r>
      <w:r>
        <w:rPr>
          <w:rFonts w:hint="eastAsia" w:ascii="仿宋_GB2312" w:hAnsi="宋体" w:eastAsia="仿宋_GB2312"/>
          <w:sz w:val="32"/>
          <w:szCs w:val="32"/>
        </w:rPr>
        <w:t>万元，占“三公”经费支出的0%。完成年初预算的100%。2021年国内公务接待累计0批次、0人、0万元；其中外事接待累计0批次、0人、0万元。2021年公务接待费与上年比无变化。</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3.公务用车购置及</w:t>
      </w:r>
      <w:r>
        <w:rPr>
          <w:rFonts w:ascii="仿宋_GB2312" w:hAnsi="宋体" w:eastAsia="仿宋_GB2312"/>
          <w:sz w:val="32"/>
          <w:szCs w:val="32"/>
        </w:rPr>
        <w:t>运行费</w:t>
      </w:r>
      <w:r>
        <w:rPr>
          <w:rFonts w:hint="eastAsia" w:ascii="楷体_GB2312" w:hAnsi="宋体" w:eastAsia="楷体_GB2312"/>
          <w:b/>
          <w:sz w:val="32"/>
          <w:szCs w:val="32"/>
        </w:rPr>
        <w:t>0</w:t>
      </w:r>
      <w:r>
        <w:rPr>
          <w:rFonts w:hint="eastAsia" w:ascii="仿宋_GB2312" w:hAnsi="宋体" w:eastAsia="仿宋_GB2312"/>
          <w:sz w:val="32"/>
          <w:szCs w:val="32"/>
        </w:rPr>
        <w:t>万元，占“三公”经费支出的0%。完成年初预算的100%。2021年公务用车购置及</w:t>
      </w:r>
      <w:r>
        <w:rPr>
          <w:rFonts w:ascii="仿宋_GB2312" w:hAnsi="宋体" w:eastAsia="仿宋_GB2312"/>
          <w:sz w:val="32"/>
          <w:szCs w:val="32"/>
        </w:rPr>
        <w:t>运行费</w:t>
      </w:r>
      <w:r>
        <w:rPr>
          <w:rFonts w:hint="eastAsia" w:ascii="仿宋_GB2312" w:hAnsi="宋体" w:eastAsia="仿宋_GB2312"/>
          <w:sz w:val="32"/>
          <w:szCs w:val="32"/>
        </w:rPr>
        <w:t>与上年比无变化。</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其中：公务用车购置费0万元，当年购置公务用车0辆。公务用车运行维护费0万元，截至年末使用</w:t>
      </w:r>
      <w:r>
        <w:rPr>
          <w:rFonts w:ascii="仿宋_GB2312" w:hAnsi="宋体" w:eastAsia="仿宋_GB2312"/>
          <w:sz w:val="32"/>
          <w:szCs w:val="32"/>
        </w:rPr>
        <w:t>一般公共预算财政拨款开支</w:t>
      </w:r>
      <w:r>
        <w:rPr>
          <w:rFonts w:hint="eastAsia" w:ascii="仿宋_GB2312" w:hAnsi="宋体" w:eastAsia="仿宋_GB2312"/>
          <w:sz w:val="32"/>
          <w:szCs w:val="32"/>
        </w:rPr>
        <w:t>运行维护费</w:t>
      </w:r>
      <w:r>
        <w:rPr>
          <w:rFonts w:ascii="仿宋_GB2312" w:hAnsi="宋体" w:eastAsia="仿宋_GB2312"/>
          <w:sz w:val="32"/>
          <w:szCs w:val="32"/>
        </w:rPr>
        <w:t>的</w:t>
      </w:r>
      <w:r>
        <w:rPr>
          <w:rFonts w:hint="eastAsia" w:ascii="仿宋_GB2312" w:hAnsi="宋体" w:eastAsia="仿宋_GB2312"/>
          <w:sz w:val="32"/>
          <w:szCs w:val="32"/>
        </w:rPr>
        <w:t>公务用车保有量0辆。</w:t>
      </w:r>
    </w:p>
    <w:p>
      <w:pPr>
        <w:spacing w:line="540" w:lineRule="exact"/>
        <w:ind w:firstLine="645"/>
        <w:rPr>
          <w:rFonts w:hint="eastAsia" w:ascii="仿宋_GB2312" w:hAnsi="宋体" w:eastAsia="仿宋_GB2312"/>
          <w:sz w:val="32"/>
          <w:szCs w:val="32"/>
        </w:rPr>
      </w:pPr>
    </w:p>
    <w:p>
      <w:pPr>
        <w:spacing w:line="540" w:lineRule="exact"/>
        <w:ind w:firstLine="645"/>
        <w:rPr>
          <w:rFonts w:hint="eastAsia" w:ascii="黑体" w:hAnsi="黑体" w:eastAsia="黑体"/>
          <w:sz w:val="32"/>
          <w:szCs w:val="32"/>
        </w:rPr>
      </w:pPr>
      <w:r>
        <w:rPr>
          <w:rFonts w:hint="eastAsia" w:ascii="黑体" w:hAnsi="黑体" w:eastAsia="黑体"/>
          <w:sz w:val="32"/>
          <w:szCs w:val="32"/>
        </w:rPr>
        <w:t>四、一般公共预算财政拨款基本支出决算情况说明</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年度一般公共预算财政拨款基本支出</w:t>
      </w:r>
      <w:r>
        <w:rPr>
          <w:rFonts w:hint="eastAsia" w:ascii="楷体_GB2312" w:hAnsi="宋体" w:eastAsia="楷体_GB2312"/>
          <w:b/>
          <w:sz w:val="32"/>
          <w:szCs w:val="32"/>
          <w:lang w:val="en-US" w:eastAsia="zh-CN"/>
        </w:rPr>
        <w:t>10</w:t>
      </w:r>
      <w:r>
        <w:rPr>
          <w:rFonts w:hint="eastAsia" w:ascii="仿宋_GB2312" w:hAnsi="宋体" w:eastAsia="仿宋_GB2312"/>
          <w:sz w:val="32"/>
          <w:szCs w:val="32"/>
        </w:rPr>
        <w:t>万元，其中：人员经费</w:t>
      </w:r>
      <w:r>
        <w:rPr>
          <w:rFonts w:hint="eastAsia" w:ascii="楷体_GB2312" w:hAnsi="宋体" w:eastAsia="楷体_GB2312"/>
          <w:b/>
          <w:sz w:val="32"/>
          <w:szCs w:val="32"/>
          <w:lang w:val="en-US" w:eastAsia="zh-CN"/>
        </w:rPr>
        <w:t>10</w:t>
      </w:r>
      <w:r>
        <w:rPr>
          <w:rFonts w:hint="eastAsia" w:ascii="仿宋_GB2312" w:hAnsi="宋体" w:eastAsia="仿宋_GB2312"/>
          <w:sz w:val="32"/>
          <w:szCs w:val="32"/>
        </w:rPr>
        <w:t>万元，主要包括基本工资</w:t>
      </w:r>
      <w:r>
        <w:rPr>
          <w:rFonts w:hint="eastAsia" w:ascii="仿宋_GB2312" w:hAnsi="宋体" w:eastAsia="仿宋_GB2312"/>
          <w:sz w:val="32"/>
          <w:szCs w:val="32"/>
          <w:lang w:val="en-US" w:eastAsia="zh-CN"/>
        </w:rPr>
        <w:t>10</w:t>
      </w:r>
      <w:r>
        <w:rPr>
          <w:rFonts w:hint="eastAsia" w:ascii="仿宋_GB2312" w:hAnsi="宋体" w:eastAsia="仿宋_GB2312"/>
          <w:sz w:val="32"/>
          <w:szCs w:val="32"/>
        </w:rPr>
        <w:t>万元。</w:t>
      </w:r>
    </w:p>
    <w:p>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五、其他重要事项的情况说明</w:t>
      </w:r>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（一）机关运行经费支出情况。</w:t>
      </w:r>
    </w:p>
    <w:p>
      <w:pPr>
        <w:spacing w:line="540" w:lineRule="exact"/>
        <w:ind w:firstLine="66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2021</w:t>
      </w:r>
      <w:r>
        <w:rPr>
          <w:rFonts w:hint="eastAsia" w:ascii="仿宋_GB2312" w:hAnsi="黑体" w:eastAsia="仿宋_GB2312"/>
          <w:sz w:val="32"/>
          <w:szCs w:val="32"/>
        </w:rPr>
        <w:t>年机关运行经费支出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宋体" w:eastAsia="仿宋_GB2312"/>
          <w:sz w:val="32"/>
          <w:szCs w:val="32"/>
          <w:lang w:val="en-US" w:eastAsia="zh-CN"/>
        </w:rPr>
        <w:t>与年初预算数、上年数保持一致。</w:t>
      </w:r>
      <w:bookmarkStart w:id="0" w:name="_GoBack"/>
      <w:bookmarkEnd w:id="0"/>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（二）政府采购支出情况。</w:t>
      </w:r>
    </w:p>
    <w:p>
      <w:pPr>
        <w:spacing w:line="54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2021</w:t>
      </w:r>
      <w:r>
        <w:rPr>
          <w:rFonts w:hint="eastAsia" w:ascii="仿宋_GB2312" w:hAnsi="黑体" w:eastAsia="仿宋_GB2312"/>
          <w:sz w:val="32"/>
          <w:szCs w:val="32"/>
        </w:rPr>
        <w:t>年政府采购支出总额</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万元，其中：政府采购货物支出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hAnsi="黑体"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hAnsi="黑体" w:eastAsia="仿宋_GB2312"/>
          <w:sz w:val="32"/>
          <w:szCs w:val="32"/>
          <w:lang w:val="en-US" w:eastAsia="zh-CN"/>
        </w:rPr>
        <w:t>0</w:t>
      </w:r>
      <w:r>
        <w:rPr>
          <w:rFonts w:hint="eastAsia" w:ascii="仿宋_GB2312" w:eastAsia="仿宋_GB2312"/>
          <w:sz w:val="32"/>
          <w:szCs w:val="32"/>
        </w:rPr>
        <w:t>%，其中：授予小微企业合同金额</w:t>
      </w:r>
      <w:r>
        <w:rPr>
          <w:rFonts w:hint="eastAsia" w:ascii="仿宋_GB2312" w:hAnsi="黑体"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；货物采购授予中小企业合同金额占货物</w:t>
      </w:r>
      <w:r>
        <w:rPr>
          <w:rFonts w:hint="eastAsia" w:ascii="仿宋_GB2312" w:eastAsia="仿宋_GB2312"/>
          <w:sz w:val="32"/>
          <w:szCs w:val="32"/>
        </w:rPr>
        <w:t>支出</w:t>
      </w:r>
      <w:r>
        <w:rPr>
          <w:rFonts w:hint="eastAsia" w:ascii="仿宋_GB2312" w:eastAsia="仿宋_GB2312"/>
          <w:sz w:val="32"/>
          <w:szCs w:val="32"/>
          <w:lang w:eastAsia="zh-CN"/>
        </w:rPr>
        <w:t>金额的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；工程采购授予中小企业合同金额占货物</w:t>
      </w:r>
      <w:r>
        <w:rPr>
          <w:rFonts w:hint="eastAsia" w:ascii="仿宋_GB2312" w:eastAsia="仿宋_GB2312"/>
          <w:sz w:val="32"/>
          <w:szCs w:val="32"/>
        </w:rPr>
        <w:t>支出</w:t>
      </w:r>
      <w:r>
        <w:rPr>
          <w:rFonts w:hint="eastAsia" w:ascii="仿宋_GB2312" w:eastAsia="仿宋_GB2312"/>
          <w:sz w:val="32"/>
          <w:szCs w:val="32"/>
          <w:lang w:eastAsia="zh-CN"/>
        </w:rPr>
        <w:t>金额的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；服务采购授予中小企业合同金额占货物</w:t>
      </w:r>
      <w:r>
        <w:rPr>
          <w:rFonts w:hint="eastAsia" w:ascii="仿宋_GB2312" w:eastAsia="仿宋_GB2312"/>
          <w:sz w:val="32"/>
          <w:szCs w:val="32"/>
        </w:rPr>
        <w:t>支出</w:t>
      </w:r>
      <w:r>
        <w:rPr>
          <w:rFonts w:hint="eastAsia" w:ascii="仿宋_GB2312" w:eastAsia="仿宋_GB2312"/>
          <w:sz w:val="32"/>
          <w:szCs w:val="32"/>
          <w:lang w:eastAsia="zh-CN"/>
        </w:rPr>
        <w:t>金额的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w:t>
      </w:r>
    </w:p>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（三）国有资产占用情况。</w:t>
      </w:r>
    </w:p>
    <w:p>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2021</w:t>
      </w:r>
      <w:r>
        <w:rPr>
          <w:rFonts w:hint="eastAsia" w:ascii="仿宋_GB2312" w:hAnsi="黑体" w:eastAsia="仿宋_GB2312"/>
          <w:sz w:val="32"/>
          <w:szCs w:val="32"/>
        </w:rPr>
        <w:t>年12月31日，共有车辆</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辆，其中：副省级以上领导干部用车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辆，主要</w:t>
      </w:r>
      <w:r>
        <w:rPr>
          <w:rFonts w:ascii="仿宋_GB2312" w:hAnsi="黑体" w:eastAsia="仿宋_GB2312"/>
          <w:sz w:val="32"/>
          <w:szCs w:val="32"/>
        </w:rPr>
        <w:t>领导干部</w:t>
      </w:r>
      <w:r>
        <w:rPr>
          <w:rFonts w:hint="eastAsia" w:ascii="仿宋_GB2312" w:hAnsi="黑体" w:eastAsia="仿宋_GB2312"/>
          <w:sz w:val="32"/>
          <w:szCs w:val="32"/>
        </w:rPr>
        <w:t>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辆，机要通讯用车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辆，应急</w:t>
      </w:r>
      <w:r>
        <w:rPr>
          <w:rFonts w:ascii="仿宋_GB2312" w:hAnsi="黑体" w:eastAsia="仿宋_GB2312"/>
          <w:sz w:val="32"/>
          <w:szCs w:val="32"/>
        </w:rPr>
        <w:t>保障用车</w:t>
      </w:r>
      <w:r>
        <w:rPr>
          <w:rFonts w:hint="eastAsia" w:ascii="仿宋_GB2312" w:hAnsi="黑体" w:eastAsia="仿宋_GB2312"/>
          <w:sz w:val="32"/>
          <w:szCs w:val="32"/>
          <w:lang w:val="en-US" w:eastAsia="zh-CN"/>
        </w:rPr>
        <w:t>0</w:t>
      </w:r>
      <w:r>
        <w:rPr>
          <w:rFonts w:ascii="仿宋_GB2312" w:hAnsi="黑体" w:eastAsia="仿宋_GB2312"/>
          <w:sz w:val="32"/>
          <w:szCs w:val="32"/>
        </w:rPr>
        <w:t>辆，</w:t>
      </w:r>
      <w:r>
        <w:rPr>
          <w:rFonts w:hint="eastAsia" w:ascii="仿宋_GB2312" w:hAnsi="黑体" w:eastAsia="仿宋_GB2312"/>
          <w:sz w:val="32"/>
          <w:szCs w:val="32"/>
        </w:rPr>
        <w:t>执法执勤</w:t>
      </w:r>
      <w:r>
        <w:rPr>
          <w:rFonts w:ascii="仿宋_GB2312" w:hAnsi="黑体" w:eastAsia="仿宋_GB2312"/>
          <w:sz w:val="32"/>
          <w:szCs w:val="32"/>
        </w:rPr>
        <w:t>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特种专业技术用车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辆，离退休</w:t>
      </w:r>
      <w:r>
        <w:rPr>
          <w:rFonts w:ascii="仿宋_GB2312" w:hAnsi="黑体" w:eastAsia="仿宋_GB2312"/>
          <w:sz w:val="32"/>
          <w:szCs w:val="32"/>
        </w:rPr>
        <w:t>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其他用车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辆；单位价值50万元以上通用设备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台（套），单价100万元以上专用设备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w:t>
      </w:r>
    </w:p>
    <w:p/>
    <w:p>
      <w:pPr>
        <w:keepNext w:val="0"/>
        <w:keepLines w:val="0"/>
        <w:widowControl/>
        <w:numPr>
          <w:ilvl w:val="0"/>
          <w:numId w:val="3"/>
        </w:numPr>
        <w:suppressLineNumbers w:val="0"/>
        <w:spacing w:before="0" w:beforeAutospacing="0" w:after="0" w:afterAutospacing="0" w:line="540" w:lineRule="exact"/>
        <w:ind w:left="0" w:right="0" w:firstLine="643" w:firstLineChars="200"/>
        <w:jc w:val="left"/>
        <w:rPr>
          <w:rFonts w:ascii="楷体_GB2312" w:hAnsi="宋体" w:eastAsia="楷体_GB2312" w:cs="楷体_GB2312"/>
          <w:b/>
          <w:color w:val="auto"/>
          <w:kern w:val="2"/>
          <w:sz w:val="32"/>
          <w:szCs w:val="32"/>
          <w:highlight w:val="none"/>
          <w:shd w:val="clear" w:color="auto" w:fill="auto"/>
          <w:lang w:val="en-US" w:eastAsia="zh-CN" w:bidi="ar"/>
        </w:rPr>
      </w:pPr>
      <w:r>
        <w:rPr>
          <w:rFonts w:ascii="楷体_GB2312" w:hAnsi="宋体" w:eastAsia="楷体_GB2312" w:cs="楷体_GB2312"/>
          <w:b/>
          <w:color w:val="auto"/>
          <w:kern w:val="2"/>
          <w:sz w:val="32"/>
          <w:szCs w:val="32"/>
          <w:highlight w:val="none"/>
          <w:shd w:val="clear" w:color="auto" w:fill="auto"/>
          <w:lang w:val="en-US" w:eastAsia="zh-CN" w:bidi="ar"/>
        </w:rPr>
        <w:t>预算绩效情况。</w:t>
      </w:r>
    </w:p>
    <w:p>
      <w:pPr>
        <w:spacing w:line="54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二级预算单位，绩效考评并入卫健局</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ascii="宋体" w:hAnsi="宋体"/>
          <w:b/>
          <w:sz w:val="36"/>
          <w:szCs w:val="36"/>
        </w:rPr>
      </w:pPr>
      <w:r>
        <w:rPr>
          <w:rFonts w:hint="eastAsia" w:ascii="宋体" w:hAnsi="宋体"/>
          <w:b/>
          <w:sz w:val="36"/>
          <w:szCs w:val="36"/>
        </w:rPr>
        <w:t>第三部分 名词解释</w:t>
      </w:r>
    </w:p>
    <w:p>
      <w:pPr>
        <w:spacing w:line="540" w:lineRule="exact"/>
        <w:jc w:val="center"/>
        <w:rPr>
          <w:rFonts w:ascii="宋体" w:hAnsi="宋体"/>
          <w:b/>
          <w:sz w:val="36"/>
          <w:szCs w:val="36"/>
        </w:rPr>
      </w:pP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指单位从同级财政部门取得的财政预算资金。</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w:t>
      </w:r>
      <w:r>
        <w:rPr>
          <w:rFonts w:hint="eastAsia" w:ascii="仿宋_GB2312" w:eastAsia="仿宋_GB2312"/>
          <w:b/>
          <w:sz w:val="32"/>
          <w:szCs w:val="32"/>
        </w:rPr>
        <w:t xml:space="preserve"> </w:t>
      </w:r>
      <w:r>
        <w:rPr>
          <w:rFonts w:hint="eastAsia" w:ascii="仿宋_GB2312" w:eastAsia="仿宋_GB2312"/>
          <w:sz w:val="32"/>
          <w:szCs w:val="32"/>
        </w:rPr>
        <w:t>“上级补助收入”、“事业收入”、“经营收入”、“附属单位上缴收入”等以外的收入。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7.</w:t>
      </w:r>
      <w:r>
        <w:rPr>
          <w:rFonts w:hint="eastAsia" w:ascii="仿宋_GB2312" w:eastAsia="仿宋_GB2312"/>
          <w:b/>
          <w:sz w:val="32"/>
          <w:szCs w:val="32"/>
          <w:lang w:val="en-US" w:eastAsia="zh-CN"/>
        </w:rPr>
        <w:t>使用非财政拨款结余</w:t>
      </w:r>
      <w:r>
        <w:rPr>
          <w:rFonts w:hint="eastAsia" w:ascii="仿宋_GB2312" w:eastAsia="仿宋_GB2312"/>
          <w:b/>
          <w:sz w:val="32"/>
          <w:szCs w:val="32"/>
        </w:rPr>
        <w:t>：</w:t>
      </w:r>
      <w:r>
        <w:rPr>
          <w:rFonts w:hint="eastAsia" w:ascii="仿宋_GB2312" w:eastAsia="仿宋_GB2312"/>
          <w:sz w:val="32"/>
          <w:szCs w:val="32"/>
        </w:rPr>
        <w:t>指事业单位</w:t>
      </w:r>
      <w:r>
        <w:rPr>
          <w:rFonts w:hint="eastAsia" w:ascii="仿宋_GB2312" w:eastAsia="仿宋_GB2312"/>
          <w:sz w:val="32"/>
          <w:szCs w:val="32"/>
          <w:lang w:val="en-US" w:eastAsia="zh-CN"/>
        </w:rPr>
        <w:t>按照预算管理要求使用非财政拨款结余弥补收支差额的金额</w:t>
      </w:r>
      <w:r>
        <w:rPr>
          <w:rFonts w:hint="eastAsia" w:ascii="仿宋_GB2312" w:eastAsia="仿宋_GB2312"/>
          <w:sz w:val="32"/>
          <w:szCs w:val="32"/>
        </w:rPr>
        <w:t>。</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指在基本支出之外为完成特定行政任务和事业发展目标所发生的支出。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pPr>
        <w:spacing w:line="540" w:lineRule="exact"/>
        <w:ind w:firstLine="643" w:firstLineChars="200"/>
        <w:rPr>
          <w:rFonts w:hint="eastAsia"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w:t>
      </w:r>
      <w:r>
        <w:rPr>
          <w:rFonts w:hint="eastAsia" w:ascii="仿宋_GB2312" w:eastAsia="仿宋_GB2312"/>
          <w:sz w:val="32"/>
          <w:szCs w:val="32"/>
          <w:lang w:val="en-US" w:eastAsia="zh-CN"/>
        </w:rPr>
        <w:t>一般公共预算</w:t>
      </w:r>
      <w:r>
        <w:rPr>
          <w:rFonts w:hint="eastAsia" w:ascii="仿宋_GB2312" w:eastAsia="仿宋_GB2312"/>
          <w:sz w:val="32"/>
          <w:szCs w:val="32"/>
        </w:rPr>
        <w:t>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firstLine="643"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15.机关运行经费：</w:t>
      </w:r>
      <w:r>
        <w:rPr>
          <w:rFonts w:hint="eastAsia" w:ascii="仿宋_GB2312" w:eastAsia="仿宋_GB2312"/>
          <w:sz w:val="32"/>
          <w:szCs w:val="32"/>
          <w:lang w:val="en-US" w:eastAsia="zh-CN"/>
        </w:rPr>
        <w:t>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40" w:lineRule="exact"/>
        <w:ind w:firstLine="643" w:firstLineChars="200"/>
        <w:rPr>
          <w:rFonts w:hint="eastAsia" w:ascii="仿宋_GB2312" w:eastAsia="仿宋_GB2312"/>
          <w:b/>
          <w:sz w:val="32"/>
          <w:szCs w:val="32"/>
        </w:rPr>
      </w:pPr>
      <w:r>
        <w:rPr>
          <w:rFonts w:hint="eastAsia" w:ascii="仿宋_GB2312" w:eastAsia="仿宋_GB2312"/>
          <w:b/>
          <w:sz w:val="32"/>
          <w:szCs w:val="32"/>
        </w:rPr>
        <w:t>1</w:t>
      </w:r>
      <w:r>
        <w:rPr>
          <w:rFonts w:hint="eastAsia" w:ascii="仿宋_GB2312" w:eastAsia="仿宋_GB2312"/>
          <w:b/>
          <w:sz w:val="32"/>
          <w:szCs w:val="32"/>
          <w:lang w:val="en-US" w:eastAsia="zh-CN"/>
        </w:rPr>
        <w:t>6</w:t>
      </w:r>
      <w:r>
        <w:rPr>
          <w:rFonts w:hint="eastAsia" w:ascii="仿宋_GB2312" w:eastAsia="仿宋_GB2312"/>
          <w:b/>
          <w:sz w:val="32"/>
          <w:szCs w:val="32"/>
        </w:rPr>
        <w:t>.一般公共服务（类）财政事务（款）行政运行（项）：</w:t>
      </w:r>
      <w:r>
        <w:rPr>
          <w:rFonts w:hint="eastAsia" w:ascii="仿宋_GB2312" w:eastAsia="仿宋_GB2312"/>
          <w:sz w:val="32"/>
          <w:szCs w:val="32"/>
        </w:rPr>
        <w:t>反映行政单位（包括实行公务员管理的事业单位）的基本支出。</w:t>
      </w:r>
    </w:p>
    <w:p>
      <w:pPr>
        <w:spacing w:line="540" w:lineRule="exact"/>
        <w:ind w:firstLine="640" w:firstLineChars="200"/>
        <w:rPr>
          <w:rFonts w:hint="eastAsia" w:ascii="仿宋_GB2312" w:eastAsia="仿宋_GB2312"/>
          <w:b/>
          <w:sz w:val="32"/>
          <w:szCs w:val="32"/>
        </w:rPr>
      </w:pPr>
      <w:r>
        <w:rPr>
          <w:rFonts w:hint="eastAsia" w:ascii="仿宋_GB2312" w:eastAsia="仿宋_GB2312"/>
          <w:i/>
          <w:sz w:val="32"/>
          <w:szCs w:val="32"/>
          <w:u w:val="single"/>
        </w:rPr>
        <w:t>（部门决算涉及的支出功能分类全部项级科目，逐一解释）……</w:t>
      </w:r>
    </w:p>
    <w:p>
      <w:pPr>
        <w:spacing w:line="540" w:lineRule="exact"/>
        <w:rPr>
          <w:sz w:val="32"/>
          <w:szCs w:val="32"/>
        </w:rPr>
        <w:sectPr>
          <w:footerReference r:id="rId3" w:type="default"/>
          <w:footerReference r:id="rId4" w:type="even"/>
          <w:pgSz w:w="11906" w:h="16838"/>
          <w:pgMar w:top="1701" w:right="1417" w:bottom="1701" w:left="1417" w:header="851" w:footer="992" w:gutter="0"/>
          <w:cols w:space="720" w:num="1"/>
          <w:docGrid w:type="lines" w:linePitch="312" w:charSpace="0"/>
        </w:sectPr>
      </w:pPr>
    </w:p>
    <w:p/>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numPr>
          <w:ilvl w:val="0"/>
          <w:numId w:val="4"/>
        </w:numPr>
        <w:rPr>
          <w:rFonts w:hint="eastAsia" w:ascii="宋体" w:hAnsi="宋体"/>
          <w:b/>
          <w:sz w:val="52"/>
          <w:szCs w:val="52"/>
        </w:rPr>
      </w:pPr>
      <w:r>
        <w:rPr>
          <w:rFonts w:hint="eastAsia" w:ascii="宋体" w:hAnsi="宋体"/>
          <w:b/>
          <w:sz w:val="52"/>
          <w:szCs w:val="52"/>
          <w:lang w:eastAsia="zh-CN"/>
        </w:rPr>
        <w:t>2021</w:t>
      </w:r>
      <w:r>
        <w:rPr>
          <w:rFonts w:hint="eastAsia" w:ascii="宋体" w:hAnsi="宋体"/>
          <w:b/>
          <w:sz w:val="52"/>
          <w:szCs w:val="52"/>
        </w:rPr>
        <w:t>年度部门决算表</w:t>
      </w:r>
    </w:p>
    <w:p>
      <w:pPr>
        <w:widowControl w:val="0"/>
        <w:numPr>
          <w:ilvl w:val="0"/>
          <w:numId w:val="0"/>
        </w:numPr>
        <w:jc w:val="both"/>
        <w:rPr>
          <w:rFonts w:hint="eastAsia" w:ascii="宋体" w:hAnsi="宋体"/>
          <w:b/>
          <w:sz w:val="52"/>
          <w:szCs w:val="52"/>
        </w:rPr>
      </w:pPr>
    </w:p>
    <w:p>
      <w:pPr>
        <w:widowControl w:val="0"/>
        <w:numPr>
          <w:ilvl w:val="0"/>
          <w:numId w:val="0"/>
        </w:numPr>
        <w:jc w:val="both"/>
        <w:rPr>
          <w:rFonts w:hint="eastAsia" w:ascii="宋体" w:hAnsi="宋体"/>
          <w:b/>
          <w:sz w:val="52"/>
          <w:szCs w:val="52"/>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97"/>
        <w:gridCol w:w="476"/>
        <w:gridCol w:w="606"/>
        <w:gridCol w:w="2340"/>
        <w:gridCol w:w="476"/>
        <w:gridCol w:w="11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5000" w:type="pct"/>
            <w:gridSpan w:val="6"/>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080"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26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40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6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46"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080"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部门：辽宁省本溪市明山区牛心台街道社区卫生服务中心</w:t>
            </w:r>
          </w:p>
        </w:tc>
        <w:tc>
          <w:tcPr>
            <w:tcW w:w="26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40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6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46"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690"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收入</w:t>
            </w:r>
          </w:p>
        </w:tc>
        <w:tc>
          <w:tcPr>
            <w:tcW w:w="2309" w:type="pct"/>
            <w:gridSpan w:val="3"/>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行次</w:t>
            </w:r>
          </w:p>
        </w:tc>
        <w:tc>
          <w:tcPr>
            <w:tcW w:w="34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w:t>
            </w: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行次</w:t>
            </w:r>
          </w:p>
        </w:tc>
        <w:tc>
          <w:tcPr>
            <w:tcW w:w="64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261"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4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261"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64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一、一般公共预算财政拨款收入</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一、一般公共服务支出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32</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二、政府性基金预算财政拨款收入</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二、外交支出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33</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三、国有资本经营预算财政拨款收入</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三、国防支出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34</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四、上级补助收入</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四、公共安全支出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35</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五、事业收入</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3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277.24</w:t>
            </w: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五、教育支出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六、经营收入</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六、科学技术支出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37</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七、附属单位上缴收入</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七、文化旅游体育与传媒支出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八、其他收入</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八、社会保障和就业支出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九、卫生健康支出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w:t>
            </w:r>
          </w:p>
        </w:tc>
        <w:tc>
          <w:tcPr>
            <w:tcW w:w="64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287.24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十、节能环保支出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41</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十一、城乡社区支出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十二、农林水支出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十三、交通运输支出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44</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十四、资源勘探工业信息等支出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45</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十五、商业服务业等支出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46</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十六、金融支出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47</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17</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十七、援助其他地区支出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十八、自然资源海洋气象等支出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49</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十九、住房保障支出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50</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二十、粮油物资储备支出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二十一、国有资本经营预算支出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52</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二十二、灾害防治及应急管理支出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53</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23</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二十三、其他支出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二十四、债务还本支出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55</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二十五、债务付息支出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56</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二十六、抗疫特别国债安排的支出</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57</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本年收入合计</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27</w:t>
            </w:r>
          </w:p>
        </w:tc>
        <w:tc>
          <w:tcPr>
            <w:tcW w:w="3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287.24</w:t>
            </w: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本年支出合计</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58</w:t>
            </w:r>
          </w:p>
        </w:tc>
        <w:tc>
          <w:tcPr>
            <w:tcW w:w="64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287.24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使用非财政拨款结余</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结余分配</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59</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年初结转和结余</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年末结转和结余</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60</w:t>
            </w:r>
          </w:p>
        </w:tc>
        <w:tc>
          <w:tcPr>
            <w:tcW w:w="6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w:t>
            </w:r>
          </w:p>
        </w:tc>
        <w:tc>
          <w:tcPr>
            <w:tcW w:w="3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401"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61</w:t>
            </w:r>
          </w:p>
        </w:tc>
        <w:tc>
          <w:tcPr>
            <w:tcW w:w="64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08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总计</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w:t>
            </w:r>
          </w:p>
        </w:tc>
        <w:tc>
          <w:tcPr>
            <w:tcW w:w="3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287.24</w:t>
            </w:r>
          </w:p>
        </w:tc>
        <w:tc>
          <w:tcPr>
            <w:tcW w:w="14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总计</w:t>
            </w:r>
          </w:p>
        </w:tc>
        <w:tc>
          <w:tcPr>
            <w:tcW w:w="26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62</w:t>
            </w:r>
          </w:p>
        </w:tc>
        <w:tc>
          <w:tcPr>
            <w:tcW w:w="64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287.24</w:t>
            </w:r>
          </w:p>
        </w:tc>
      </w:tr>
    </w:tbl>
    <w:p>
      <w:pPr>
        <w:widowControl w:val="0"/>
        <w:numPr>
          <w:ilvl w:val="0"/>
          <w:numId w:val="0"/>
        </w:numPr>
        <w:jc w:val="both"/>
        <w:rPr>
          <w:rFonts w:hint="eastAsia" w:ascii="宋体" w:hAnsi="宋体"/>
          <w:b/>
          <w:sz w:val="52"/>
          <w:szCs w:val="52"/>
        </w:rPr>
      </w:pPr>
    </w:p>
    <w:p>
      <w:pPr>
        <w:widowControl w:val="0"/>
        <w:numPr>
          <w:ilvl w:val="0"/>
          <w:numId w:val="0"/>
        </w:numPr>
        <w:jc w:val="both"/>
        <w:rPr>
          <w:rFonts w:hint="eastAsia" w:ascii="宋体" w:hAnsi="宋体"/>
          <w:b/>
          <w:sz w:val="52"/>
          <w:szCs w:val="52"/>
        </w:rPr>
      </w:pPr>
    </w:p>
    <w:p>
      <w:pPr>
        <w:widowControl w:val="0"/>
        <w:numPr>
          <w:ilvl w:val="0"/>
          <w:numId w:val="0"/>
        </w:numPr>
        <w:jc w:val="both"/>
        <w:rPr>
          <w:rFonts w:hint="eastAsia" w:ascii="宋体" w:hAnsi="宋体"/>
          <w:b/>
          <w:sz w:val="52"/>
          <w:szCs w:val="52"/>
        </w:rPr>
      </w:pPr>
    </w:p>
    <w:p>
      <w:pPr>
        <w:widowControl w:val="0"/>
        <w:numPr>
          <w:ilvl w:val="0"/>
          <w:numId w:val="0"/>
        </w:numPr>
        <w:jc w:val="both"/>
        <w:rPr>
          <w:rFonts w:hint="eastAsia" w:ascii="宋体" w:hAnsi="宋体"/>
          <w:b/>
          <w:sz w:val="52"/>
          <w:szCs w:val="52"/>
        </w:rPr>
      </w:pPr>
    </w:p>
    <w:p>
      <w:pPr>
        <w:widowControl w:val="0"/>
        <w:numPr>
          <w:ilvl w:val="0"/>
          <w:numId w:val="0"/>
        </w:numPr>
        <w:jc w:val="both"/>
        <w:rPr>
          <w:rFonts w:hint="eastAsia" w:ascii="宋体" w:hAnsi="宋体"/>
          <w:b/>
          <w:sz w:val="52"/>
          <w:szCs w:val="52"/>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32"/>
        <w:gridCol w:w="221"/>
        <w:gridCol w:w="221"/>
        <w:gridCol w:w="1266"/>
        <w:gridCol w:w="570"/>
        <w:gridCol w:w="510"/>
        <w:gridCol w:w="333"/>
        <w:gridCol w:w="570"/>
        <w:gridCol w:w="333"/>
        <w:gridCol w:w="333"/>
        <w:gridCol w:w="10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11"/>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911"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0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8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96"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911"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部门：辽宁省本溪市明山区牛心台街道社区卫生服务中心</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0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8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96"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978"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325"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本年收入合计</w:t>
            </w:r>
          </w:p>
        </w:tc>
        <w:tc>
          <w:tcPr>
            <w:tcW w:w="285"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财政拨款收入</w:t>
            </w:r>
          </w:p>
        </w:tc>
        <w:tc>
          <w:tcPr>
            <w:tcW w:w="162"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上级补助收入</w:t>
            </w:r>
          </w:p>
        </w:tc>
        <w:tc>
          <w:tcPr>
            <w:tcW w:w="325"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事业收入</w:t>
            </w:r>
          </w:p>
        </w:tc>
        <w:tc>
          <w:tcPr>
            <w:tcW w:w="163"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经营收入</w:t>
            </w:r>
          </w:p>
        </w:tc>
        <w:tc>
          <w:tcPr>
            <w:tcW w:w="163"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附属单位上缴收入</w:t>
            </w:r>
          </w:p>
        </w:tc>
        <w:tc>
          <w:tcPr>
            <w:tcW w:w="596"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172"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806"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2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8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3"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3"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9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172"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06"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2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8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3"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3"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9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172"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06"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2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8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3"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3"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9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978"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25"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285"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162"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25"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163"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163"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596"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978"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287.24</w:t>
            </w:r>
          </w:p>
        </w:tc>
        <w:tc>
          <w:tcPr>
            <w:tcW w:w="28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10.00</w:t>
            </w:r>
          </w:p>
        </w:tc>
        <w:tc>
          <w:tcPr>
            <w:tcW w:w="1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277.24</w:t>
            </w: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59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17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w:t>
            </w:r>
          </w:p>
        </w:tc>
        <w:tc>
          <w:tcPr>
            <w:tcW w:w="80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卫生健康支出</w:t>
            </w:r>
          </w:p>
        </w:tc>
        <w:tc>
          <w:tcPr>
            <w:tcW w:w="3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287.24</w:t>
            </w:r>
          </w:p>
        </w:tc>
        <w:tc>
          <w:tcPr>
            <w:tcW w:w="28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1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277.24</w:t>
            </w: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9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17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w:t>
            </w:r>
          </w:p>
        </w:tc>
        <w:tc>
          <w:tcPr>
            <w:tcW w:w="80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公共卫生</w:t>
            </w:r>
          </w:p>
        </w:tc>
        <w:tc>
          <w:tcPr>
            <w:tcW w:w="3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287.24</w:t>
            </w:r>
          </w:p>
        </w:tc>
        <w:tc>
          <w:tcPr>
            <w:tcW w:w="28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1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277.24</w:t>
            </w: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9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172"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2100408</w:t>
            </w:r>
          </w:p>
        </w:tc>
        <w:tc>
          <w:tcPr>
            <w:tcW w:w="80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基本公共卫生服务</w:t>
            </w:r>
          </w:p>
        </w:tc>
        <w:tc>
          <w:tcPr>
            <w:tcW w:w="3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287.24</w:t>
            </w:r>
          </w:p>
        </w:tc>
        <w:tc>
          <w:tcPr>
            <w:tcW w:w="28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1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277.24</w:t>
            </w: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9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17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0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9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17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0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9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17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0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9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17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0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9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17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0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9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widowControl w:val="0"/>
        <w:numPr>
          <w:ilvl w:val="0"/>
          <w:numId w:val="0"/>
        </w:numPr>
        <w:jc w:val="both"/>
        <w:rPr>
          <w:rFonts w:hint="eastAsia" w:ascii="宋体" w:hAnsi="宋体"/>
          <w:b/>
          <w:sz w:val="52"/>
          <w:szCs w:val="52"/>
        </w:rPr>
      </w:pPr>
    </w:p>
    <w:p>
      <w:pPr>
        <w:widowControl w:val="0"/>
        <w:numPr>
          <w:ilvl w:val="0"/>
          <w:numId w:val="0"/>
        </w:numPr>
        <w:jc w:val="both"/>
        <w:rPr>
          <w:rFonts w:hint="eastAsia" w:ascii="宋体" w:hAnsi="宋体"/>
          <w:b/>
          <w:sz w:val="52"/>
          <w:szCs w:val="52"/>
        </w:rPr>
      </w:pPr>
    </w:p>
    <w:p>
      <w:pPr>
        <w:widowControl w:val="0"/>
        <w:numPr>
          <w:ilvl w:val="0"/>
          <w:numId w:val="0"/>
        </w:numPr>
        <w:jc w:val="both"/>
        <w:rPr>
          <w:rFonts w:hint="eastAsia" w:ascii="宋体" w:hAnsi="宋体"/>
          <w:b/>
          <w:sz w:val="52"/>
          <w:szCs w:val="52"/>
        </w:rPr>
      </w:pPr>
    </w:p>
    <w:p>
      <w:pPr>
        <w:widowControl w:val="0"/>
        <w:numPr>
          <w:ilvl w:val="0"/>
          <w:numId w:val="0"/>
        </w:numPr>
        <w:jc w:val="both"/>
        <w:rPr>
          <w:rFonts w:hint="eastAsia" w:ascii="宋体" w:hAnsi="宋体"/>
          <w:b/>
          <w:sz w:val="52"/>
          <w:szCs w:val="52"/>
        </w:rPr>
      </w:pPr>
    </w:p>
    <w:p>
      <w:pPr>
        <w:widowControl w:val="0"/>
        <w:numPr>
          <w:ilvl w:val="0"/>
          <w:numId w:val="0"/>
        </w:numPr>
        <w:jc w:val="both"/>
        <w:rPr>
          <w:rFonts w:hint="eastAsia" w:ascii="宋体" w:hAnsi="宋体"/>
          <w:b/>
          <w:sz w:val="52"/>
          <w:szCs w:val="52"/>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3"/>
        <w:gridCol w:w="222"/>
        <w:gridCol w:w="222"/>
        <w:gridCol w:w="1324"/>
        <w:gridCol w:w="589"/>
        <w:gridCol w:w="589"/>
        <w:gridCol w:w="527"/>
        <w:gridCol w:w="339"/>
        <w:gridCol w:w="339"/>
        <w:gridCol w:w="10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979"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3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9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18"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979"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部门：辽宁省本溪市明山区牛心台街道社区卫生服务中心</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3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9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18"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075"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336"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本年支出合计</w:t>
            </w:r>
          </w:p>
        </w:tc>
        <w:tc>
          <w:tcPr>
            <w:tcW w:w="336"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295"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c>
          <w:tcPr>
            <w:tcW w:w="168"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上缴上级支出</w:t>
            </w:r>
          </w:p>
        </w:tc>
        <w:tc>
          <w:tcPr>
            <w:tcW w:w="168"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经营支出</w:t>
            </w:r>
          </w:p>
        </w:tc>
        <w:tc>
          <w:tcPr>
            <w:tcW w:w="618"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240"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835"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3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9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1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240"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35"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3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9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1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240"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35"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3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9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18"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075"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36"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36"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295"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168"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168"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618"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075"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3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287.24</w:t>
            </w:r>
          </w:p>
        </w:tc>
        <w:tc>
          <w:tcPr>
            <w:tcW w:w="33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268.15</w:t>
            </w:r>
          </w:p>
        </w:tc>
        <w:tc>
          <w:tcPr>
            <w:tcW w:w="29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19.08</w:t>
            </w: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6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40"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w:t>
            </w:r>
          </w:p>
        </w:tc>
        <w:tc>
          <w:tcPr>
            <w:tcW w:w="8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卫生健康支出</w:t>
            </w:r>
          </w:p>
        </w:tc>
        <w:tc>
          <w:tcPr>
            <w:tcW w:w="33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287.24</w:t>
            </w:r>
          </w:p>
        </w:tc>
        <w:tc>
          <w:tcPr>
            <w:tcW w:w="33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268.15</w:t>
            </w:r>
          </w:p>
        </w:tc>
        <w:tc>
          <w:tcPr>
            <w:tcW w:w="29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19.08</w:t>
            </w: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40"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w:t>
            </w:r>
          </w:p>
        </w:tc>
        <w:tc>
          <w:tcPr>
            <w:tcW w:w="8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公共卫生</w:t>
            </w:r>
          </w:p>
        </w:tc>
        <w:tc>
          <w:tcPr>
            <w:tcW w:w="33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287.24</w:t>
            </w:r>
          </w:p>
        </w:tc>
        <w:tc>
          <w:tcPr>
            <w:tcW w:w="33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268.15</w:t>
            </w:r>
          </w:p>
        </w:tc>
        <w:tc>
          <w:tcPr>
            <w:tcW w:w="29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19.08</w:t>
            </w: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40"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2100408</w:t>
            </w:r>
          </w:p>
        </w:tc>
        <w:tc>
          <w:tcPr>
            <w:tcW w:w="8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基本公共卫生服务</w:t>
            </w:r>
          </w:p>
        </w:tc>
        <w:tc>
          <w:tcPr>
            <w:tcW w:w="33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287.24</w:t>
            </w:r>
          </w:p>
        </w:tc>
        <w:tc>
          <w:tcPr>
            <w:tcW w:w="33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268.15</w:t>
            </w:r>
          </w:p>
        </w:tc>
        <w:tc>
          <w:tcPr>
            <w:tcW w:w="29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19.08</w:t>
            </w: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4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4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4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9" w:hRule="atLeast"/>
        </w:trPr>
        <w:tc>
          <w:tcPr>
            <w:tcW w:w="224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4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widowControl w:val="0"/>
        <w:numPr>
          <w:ilvl w:val="0"/>
          <w:numId w:val="0"/>
        </w:numPr>
        <w:jc w:val="both"/>
        <w:rPr>
          <w:rFonts w:hint="eastAsia" w:ascii="宋体" w:hAnsi="宋体"/>
          <w:b/>
          <w:sz w:val="52"/>
          <w:szCs w:val="52"/>
        </w:rPr>
      </w:pPr>
    </w:p>
    <w:p>
      <w:pPr>
        <w:widowControl w:val="0"/>
        <w:numPr>
          <w:ilvl w:val="0"/>
          <w:numId w:val="0"/>
        </w:numPr>
        <w:jc w:val="both"/>
        <w:rPr>
          <w:rFonts w:hint="eastAsia" w:ascii="宋体" w:hAnsi="宋体"/>
          <w:b/>
          <w:sz w:val="52"/>
          <w:szCs w:val="52"/>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76"/>
        <w:gridCol w:w="330"/>
        <w:gridCol w:w="502"/>
        <w:gridCol w:w="1932"/>
        <w:gridCol w:w="330"/>
        <w:gridCol w:w="502"/>
        <w:gridCol w:w="502"/>
        <w:gridCol w:w="330"/>
        <w:gridCol w:w="10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528"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7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5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11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7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3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5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1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45"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528"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部门：辽宁省本溪市明山区牛心台街道社区卫生服务中心</w:t>
            </w:r>
          </w:p>
        </w:tc>
        <w:tc>
          <w:tcPr>
            <w:tcW w:w="17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5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11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7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3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5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1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45"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2154"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收     入</w:t>
            </w:r>
          </w:p>
        </w:tc>
        <w:tc>
          <w:tcPr>
            <w:tcW w:w="2845" w:type="pct"/>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171"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行次</w:t>
            </w:r>
          </w:p>
        </w:tc>
        <w:tc>
          <w:tcPr>
            <w:tcW w:w="454"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w:t>
            </w:r>
          </w:p>
        </w:tc>
        <w:tc>
          <w:tcPr>
            <w:tcW w:w="1117"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171"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行次</w:t>
            </w:r>
          </w:p>
        </w:tc>
        <w:tc>
          <w:tcPr>
            <w:tcW w:w="238"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454"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w:t>
            </w:r>
          </w:p>
        </w:tc>
        <w:tc>
          <w:tcPr>
            <w:tcW w:w="318"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政府性基金预算财政拨款</w:t>
            </w:r>
          </w:p>
        </w:tc>
        <w:tc>
          <w:tcPr>
            <w:tcW w:w="545"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7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5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11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7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38"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45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18"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4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171"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171"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23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45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1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54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一、一般公共预算财政拨款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45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一、一般公共服务支出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33</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二、政府性基金预算财政拨款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二、外交支出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34</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三、国有资本经营财政拨款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三、国防支出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35</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四、公共安全支出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五、教育支出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37</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六、科学技术支出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七、文化旅游体育与传媒支出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八、社会保障和就业支出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九、卫生健康支出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41</w:t>
            </w:r>
          </w:p>
        </w:tc>
        <w:tc>
          <w:tcPr>
            <w:tcW w:w="2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45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十、节能环保支出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十一、城乡社区支出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十二、农林水支出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44</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十三、交通运输支出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45</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十四、资源勘探工业信息等支出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46</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十五、商业服务业等支出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47</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十六、金融支出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17</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十七、援助其他地区支出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49</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十八、自然资源海洋气象等支出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50</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十九、住房保障支出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二十、粮油物资储备支出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52</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二十一、国有资本经营预算支出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53</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二十二、灾害防治及应急管理支出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23</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二十三、其他支出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55</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二十四、债务还本支出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56</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二十五、债务付息支出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57</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二十六、抗疫特别国债安排的支出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58</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本年收入合计</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27</w:t>
            </w:r>
          </w:p>
        </w:tc>
        <w:tc>
          <w:tcPr>
            <w:tcW w:w="45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本年支出合计</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59</w:t>
            </w:r>
          </w:p>
        </w:tc>
        <w:tc>
          <w:tcPr>
            <w:tcW w:w="2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45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年初财政拨款结转和结余</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年末财政拨款结转和结余</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60</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一般公共预算财政拨款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61</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政府性基金预算财政拨款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62</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国有资本经营预算财政拨款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w:t>
            </w: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63</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5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28"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总计</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32</w:t>
            </w:r>
          </w:p>
        </w:tc>
        <w:tc>
          <w:tcPr>
            <w:tcW w:w="45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总计</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64</w:t>
            </w:r>
          </w:p>
        </w:tc>
        <w:tc>
          <w:tcPr>
            <w:tcW w:w="2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45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31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widowControl w:val="0"/>
        <w:numPr>
          <w:ilvl w:val="0"/>
          <w:numId w:val="0"/>
        </w:numPr>
        <w:jc w:val="both"/>
        <w:rPr>
          <w:rFonts w:hint="eastAsia" w:ascii="宋体" w:hAnsi="宋体"/>
          <w:b/>
          <w:sz w:val="52"/>
          <w:szCs w:val="52"/>
        </w:rPr>
      </w:pPr>
    </w:p>
    <w:p>
      <w:pPr>
        <w:widowControl w:val="0"/>
        <w:numPr>
          <w:ilvl w:val="0"/>
          <w:numId w:val="0"/>
        </w:numPr>
        <w:jc w:val="both"/>
        <w:rPr>
          <w:rFonts w:hint="eastAsia" w:ascii="宋体" w:hAnsi="宋体"/>
          <w:b/>
          <w:sz w:val="52"/>
          <w:szCs w:val="52"/>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78"/>
        <w:gridCol w:w="222"/>
        <w:gridCol w:w="223"/>
        <w:gridCol w:w="1675"/>
        <w:gridCol w:w="590"/>
        <w:gridCol w:w="590"/>
        <w:gridCol w:w="12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34"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8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72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34"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部门：辽宁省本溪市明山区牛心台街道社区卫生服务中心</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8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72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578"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1421"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95"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983"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46"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346"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727"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7" w:hRule="atLeast"/>
        </w:trPr>
        <w:tc>
          <w:tcPr>
            <w:tcW w:w="2595"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983"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46"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46"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72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595"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983"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46"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46"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72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578"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4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4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72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578"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4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10.00</w:t>
            </w:r>
          </w:p>
        </w:tc>
        <w:tc>
          <w:tcPr>
            <w:tcW w:w="34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10.00</w:t>
            </w:r>
          </w:p>
        </w:tc>
        <w:tc>
          <w:tcPr>
            <w:tcW w:w="7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595"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w:t>
            </w:r>
          </w:p>
        </w:tc>
        <w:tc>
          <w:tcPr>
            <w:tcW w:w="98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卫生健康支出</w:t>
            </w:r>
          </w:p>
        </w:tc>
        <w:tc>
          <w:tcPr>
            <w:tcW w:w="34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34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7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595"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w:t>
            </w:r>
          </w:p>
        </w:tc>
        <w:tc>
          <w:tcPr>
            <w:tcW w:w="98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公共卫生</w:t>
            </w:r>
          </w:p>
        </w:tc>
        <w:tc>
          <w:tcPr>
            <w:tcW w:w="34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34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7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595"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2100408</w:t>
            </w:r>
          </w:p>
        </w:tc>
        <w:tc>
          <w:tcPr>
            <w:tcW w:w="98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基本公共卫生服务</w:t>
            </w:r>
          </w:p>
        </w:tc>
        <w:tc>
          <w:tcPr>
            <w:tcW w:w="34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34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7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595"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8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7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595"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8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7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595"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8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7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595"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8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7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595"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8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4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72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widowControl w:val="0"/>
        <w:numPr>
          <w:ilvl w:val="0"/>
          <w:numId w:val="0"/>
        </w:numPr>
        <w:jc w:val="both"/>
        <w:rPr>
          <w:rFonts w:hint="eastAsia" w:ascii="宋体" w:hAnsi="宋体"/>
          <w:b/>
          <w:sz w:val="52"/>
          <w:szCs w:val="52"/>
        </w:rPr>
      </w:pPr>
    </w:p>
    <w:p>
      <w:pPr>
        <w:widowControl w:val="0"/>
        <w:numPr>
          <w:ilvl w:val="0"/>
          <w:numId w:val="0"/>
        </w:numPr>
        <w:jc w:val="both"/>
        <w:rPr>
          <w:rFonts w:hint="eastAsia" w:ascii="宋体" w:hAnsi="宋体"/>
          <w:b/>
          <w:sz w:val="52"/>
          <w:szCs w:val="52"/>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61"/>
        <w:gridCol w:w="1384"/>
        <w:gridCol w:w="411"/>
        <w:gridCol w:w="411"/>
        <w:gridCol w:w="994"/>
        <w:gridCol w:w="294"/>
        <w:gridCol w:w="411"/>
        <w:gridCol w:w="1695"/>
        <w:gridCol w:w="7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246"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91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9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9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2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9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14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55"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246"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部门：辽宁省本溪市明山区牛心台街道社区卫生服务中心</w:t>
            </w:r>
          </w:p>
        </w:tc>
        <w:tc>
          <w:tcPr>
            <w:tcW w:w="91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9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9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2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9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14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55"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355"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人员经费</w:t>
            </w:r>
          </w:p>
        </w:tc>
        <w:tc>
          <w:tcPr>
            <w:tcW w:w="2644" w:type="pct"/>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科目编码</w:t>
            </w:r>
          </w:p>
        </w:tc>
        <w:tc>
          <w:tcPr>
            <w:tcW w:w="91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195"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决算数</w:t>
            </w:r>
          </w:p>
        </w:tc>
        <w:tc>
          <w:tcPr>
            <w:tcW w:w="195"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科目编码</w:t>
            </w:r>
          </w:p>
        </w:tc>
        <w:tc>
          <w:tcPr>
            <w:tcW w:w="626"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130"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决算数</w:t>
            </w:r>
          </w:p>
        </w:tc>
        <w:tc>
          <w:tcPr>
            <w:tcW w:w="195"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科目编码</w:t>
            </w:r>
          </w:p>
        </w:tc>
        <w:tc>
          <w:tcPr>
            <w:tcW w:w="114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55"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91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9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9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26"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3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9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14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5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工资福利支出</w:t>
            </w:r>
          </w:p>
        </w:tc>
        <w:tc>
          <w:tcPr>
            <w:tcW w:w="19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商品和服务支出</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307</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债务利息及费用支出</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30101</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基本工资</w:t>
            </w:r>
          </w:p>
        </w:tc>
        <w:tc>
          <w:tcPr>
            <w:tcW w:w="19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30201</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办公费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30701</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国内债务付息</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30102</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津贴补贴</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30202</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印刷费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30702</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国外债务付息</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30103</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奖金</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30203</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咨询费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资本性支出</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30106</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伙食补助费</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30204</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手续费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31001</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房屋建筑物购建</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30107</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绩效工资</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30205</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水费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31002</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办公设备购置</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30108</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机关事业单位基本养老保险缴费</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30206</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电费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31003</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专用设备购置</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30109</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职业年金缴费</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30207</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邮电费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31005</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基础设施建设</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30110</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职工基本医疗保险缴费</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30208</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取暖费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31006</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大型修缮</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30111</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公务员医疗补助缴费</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30209</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物业管理费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31007</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信息网络及软件购置更新</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30112</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其他社会保障缴费</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30211</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差旅费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31008</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物资储备</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30113</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住房公积金</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30212</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因公出国（境）费用</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31009</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土地补偿</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30114</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医疗费</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30213</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维修（护）费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31010</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安置补助</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30199</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其他工资福利支出</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30214</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租赁费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31011</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地上附着物和青苗补偿</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对个人和家庭的补助</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30215</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会议费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31012</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拆迁补偿</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30301</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离休费</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30216</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培训费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31013</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公务用车购置</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30302</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退休费</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30217</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公务接待费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31019</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其他交通工具购置</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30303</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退职（役）费</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30218</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专用材料费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31021</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文物和陈列品购置</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30304</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抚恤金</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30224</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被装购置费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31022</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无形资产购置</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30305</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生活补助</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30225</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专用燃料费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31099</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其他资本性支出</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30306</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救济费</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30226</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劳务费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对企业补助</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30307</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医疗费补助</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30227</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委托业务费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31201</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资本金注入</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30308</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助学金</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30228</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工会经费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31203</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政府投资基金股权投资</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30309</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奖励金</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30229</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福利费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31204</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费用补贴</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30310</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个人农业生产补贴</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30231</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公务用车运行维护费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31205</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利息补贴</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30311</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代缴社会保险费</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30239</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其他交通费用</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31299</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其他对企业补助</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30399</w:t>
            </w:r>
          </w:p>
        </w:tc>
        <w:tc>
          <w:tcPr>
            <w:tcW w:w="91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其他对个人和家庭的补助</w:t>
            </w: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30240</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税金及附加费用</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其他支出</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912"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30299</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其他商品和服务支出</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39906</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赠与</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912"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30"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39907</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国家赔偿费用支出</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912"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30"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39908</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对民间非营利组织和群众性自治组织补贴</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46"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912"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30"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19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39999</w:t>
            </w:r>
          </w:p>
        </w:tc>
        <w:tc>
          <w:tcPr>
            <w:tcW w:w="114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其他支出</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159" w:type="pct"/>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人员经费合计</w:t>
            </w:r>
          </w:p>
        </w:tc>
        <w:tc>
          <w:tcPr>
            <w:tcW w:w="19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10.00</w:t>
            </w:r>
          </w:p>
        </w:tc>
        <w:tc>
          <w:tcPr>
            <w:tcW w:w="2289" w:type="pct"/>
            <w:gridSpan w:val="5"/>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公用经费合计</w:t>
            </w:r>
          </w:p>
        </w:tc>
        <w:tc>
          <w:tcPr>
            <w:tcW w:w="35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widowControl w:val="0"/>
        <w:numPr>
          <w:ilvl w:val="0"/>
          <w:numId w:val="0"/>
        </w:numPr>
        <w:jc w:val="both"/>
        <w:rPr>
          <w:rFonts w:hint="eastAsia" w:ascii="宋体" w:hAnsi="宋体"/>
          <w:b/>
          <w:sz w:val="52"/>
          <w:szCs w:val="52"/>
        </w:rPr>
      </w:pPr>
    </w:p>
    <w:p>
      <w:pPr>
        <w:widowControl w:val="0"/>
        <w:numPr>
          <w:ilvl w:val="0"/>
          <w:numId w:val="0"/>
        </w:numPr>
        <w:jc w:val="both"/>
        <w:rPr>
          <w:rFonts w:hint="eastAsia" w:ascii="宋体" w:hAnsi="宋体"/>
          <w:b/>
          <w:sz w:val="52"/>
          <w:szCs w:val="52"/>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24"/>
        <w:gridCol w:w="990"/>
        <w:gridCol w:w="17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3"/>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3417"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58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001"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3417"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部门名称:辽宁省本溪市明山区牛心台街道社区卫生服务中心</w:t>
            </w:r>
          </w:p>
        </w:tc>
        <w:tc>
          <w:tcPr>
            <w:tcW w:w="58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001"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17" w:type="pct"/>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项    目</w:t>
            </w:r>
          </w:p>
        </w:tc>
        <w:tc>
          <w:tcPr>
            <w:tcW w:w="581" w:type="pct"/>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预算数</w:t>
            </w:r>
          </w:p>
        </w:tc>
        <w:tc>
          <w:tcPr>
            <w:tcW w:w="1001" w:type="pct"/>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1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合    计</w:t>
            </w:r>
          </w:p>
        </w:tc>
        <w:tc>
          <w:tcPr>
            <w:tcW w:w="58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100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1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1、因公出国（境）费</w:t>
            </w:r>
          </w:p>
        </w:tc>
        <w:tc>
          <w:tcPr>
            <w:tcW w:w="58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00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1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2、公务接待费</w:t>
            </w:r>
          </w:p>
        </w:tc>
        <w:tc>
          <w:tcPr>
            <w:tcW w:w="58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00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341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3、公务用车购置及运行费</w:t>
            </w:r>
          </w:p>
        </w:tc>
        <w:tc>
          <w:tcPr>
            <w:tcW w:w="58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00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1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其中: （1）公务用车运行维护费</w:t>
            </w:r>
          </w:p>
        </w:tc>
        <w:tc>
          <w:tcPr>
            <w:tcW w:w="58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00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85" w:hRule="atLeast"/>
        </w:trPr>
        <w:tc>
          <w:tcPr>
            <w:tcW w:w="341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（2）公务用车购置费</w:t>
            </w:r>
          </w:p>
        </w:tc>
        <w:tc>
          <w:tcPr>
            <w:tcW w:w="58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00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widowControl w:val="0"/>
        <w:numPr>
          <w:ilvl w:val="0"/>
          <w:numId w:val="0"/>
        </w:numPr>
        <w:jc w:val="both"/>
        <w:rPr>
          <w:rFonts w:hint="eastAsia" w:ascii="宋体" w:hAnsi="宋体"/>
          <w:b/>
          <w:sz w:val="52"/>
          <w:szCs w:val="52"/>
        </w:rPr>
      </w:pPr>
    </w:p>
    <w:p>
      <w:pPr>
        <w:widowControl w:val="0"/>
        <w:numPr>
          <w:ilvl w:val="0"/>
          <w:numId w:val="0"/>
        </w:numPr>
        <w:jc w:val="both"/>
        <w:rPr>
          <w:rFonts w:hint="eastAsia" w:ascii="宋体" w:hAnsi="宋体"/>
          <w:b/>
          <w:sz w:val="52"/>
          <w:szCs w:val="52"/>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66"/>
        <w:gridCol w:w="222"/>
        <w:gridCol w:w="222"/>
        <w:gridCol w:w="736"/>
        <w:gridCol w:w="549"/>
        <w:gridCol w:w="549"/>
        <w:gridCol w:w="549"/>
        <w:gridCol w:w="549"/>
        <w:gridCol w:w="553"/>
        <w:gridCol w:w="11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002"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2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25"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002"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部门：辽宁省本溪市明山区牛心台街道社区卫生服务中心</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2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25"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685"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337"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年初结转和结余</w:t>
            </w:r>
          </w:p>
        </w:tc>
        <w:tc>
          <w:tcPr>
            <w:tcW w:w="337"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本年收入</w:t>
            </w:r>
          </w:p>
        </w:tc>
        <w:tc>
          <w:tcPr>
            <w:tcW w:w="1013"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w:t>
            </w:r>
          </w:p>
        </w:tc>
        <w:tc>
          <w:tcPr>
            <w:tcW w:w="625"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262"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423"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37"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7"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7"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337"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337"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c>
          <w:tcPr>
            <w:tcW w:w="62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262"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23"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37"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7"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2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262"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23"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37"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7"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2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85"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3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3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33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3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33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6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85"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6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6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6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6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6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6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6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widowControl w:val="0"/>
        <w:numPr>
          <w:ilvl w:val="0"/>
          <w:numId w:val="0"/>
        </w:numPr>
        <w:jc w:val="both"/>
        <w:rPr>
          <w:rFonts w:hint="eastAsia" w:ascii="宋体" w:hAnsi="宋体"/>
          <w:b/>
          <w:sz w:val="52"/>
          <w:szCs w:val="52"/>
        </w:rPr>
      </w:pPr>
    </w:p>
    <w:p>
      <w:pPr>
        <w:widowControl w:val="0"/>
        <w:numPr>
          <w:ilvl w:val="0"/>
          <w:numId w:val="0"/>
        </w:numPr>
        <w:jc w:val="both"/>
        <w:rPr>
          <w:rFonts w:hint="eastAsia" w:ascii="宋体" w:hAnsi="宋体"/>
          <w:b/>
          <w:sz w:val="52"/>
          <w:szCs w:val="52"/>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93"/>
        <w:gridCol w:w="222"/>
        <w:gridCol w:w="222"/>
        <w:gridCol w:w="903"/>
        <w:gridCol w:w="758"/>
        <w:gridCol w:w="692"/>
        <w:gridCol w:w="14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5000" w:type="pct"/>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2519"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2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4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0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3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519"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部门：辽宁省本溪市明山区牛心台街道社区卫生服务中心</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2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4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0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3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3309"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1690"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79"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529"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445"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406"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837"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79"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29"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44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06"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3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79"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29"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44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06"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3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3309"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44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40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83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3309"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4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40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77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0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77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0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77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0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77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0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77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0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77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0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widowControl w:val="0"/>
        <w:numPr>
          <w:ilvl w:val="0"/>
          <w:numId w:val="0"/>
        </w:numPr>
        <w:jc w:val="both"/>
        <w:rPr>
          <w:rFonts w:hint="eastAsia" w:ascii="宋体" w:hAnsi="宋体"/>
          <w:b/>
          <w:sz w:val="52"/>
          <w:szCs w:val="5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9082C3"/>
    <w:multiLevelType w:val="singleLevel"/>
    <w:tmpl w:val="B49082C3"/>
    <w:lvl w:ilvl="0" w:tentative="0">
      <w:start w:val="4"/>
      <w:numFmt w:val="chineseCounting"/>
      <w:suff w:val="space"/>
      <w:lvlText w:val="第%1部分"/>
      <w:lvlJc w:val="left"/>
      <w:rPr>
        <w:rFonts w:hint="eastAsia"/>
      </w:rPr>
    </w:lvl>
  </w:abstractNum>
  <w:abstractNum w:abstractNumId="1">
    <w:nsid w:val="C9383DAF"/>
    <w:multiLevelType w:val="singleLevel"/>
    <w:tmpl w:val="C9383DAF"/>
    <w:lvl w:ilvl="0" w:tentative="0">
      <w:start w:val="1"/>
      <w:numFmt w:val="chineseCounting"/>
      <w:suff w:val="nothing"/>
      <w:lvlText w:val="%1、"/>
      <w:lvlJc w:val="left"/>
      <w:rPr>
        <w:rFonts w:hint="eastAsia"/>
      </w:rPr>
    </w:lvl>
  </w:abstractNum>
  <w:abstractNum w:abstractNumId="2">
    <w:nsid w:val="FD8D1F04"/>
    <w:multiLevelType w:val="singleLevel"/>
    <w:tmpl w:val="FD8D1F04"/>
    <w:lvl w:ilvl="0" w:tentative="0">
      <w:start w:val="3"/>
      <w:numFmt w:val="chineseCounting"/>
      <w:suff w:val="nothing"/>
      <w:lvlText w:val="（%1）"/>
      <w:lvlJc w:val="left"/>
      <w:rPr>
        <w:rFonts w:hint="eastAsia"/>
      </w:rPr>
    </w:lvl>
  </w:abstractNum>
  <w:abstractNum w:abstractNumId="3">
    <w:nsid w:val="7E4576A7"/>
    <w:multiLevelType w:val="singleLevel"/>
    <w:tmpl w:val="7E4576A7"/>
    <w:lvl w:ilvl="0" w:tentative="0">
      <w:start w:val="4"/>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5ZDIwYmNlNDhhNjgzNGI5NDRlMjZiNjc4ZTAxYjMifQ=="/>
  </w:docVars>
  <w:rsids>
    <w:rsidRoot w:val="5B1F6575"/>
    <w:rsid w:val="28376B99"/>
    <w:rsid w:val="42CF3610"/>
    <w:rsid w:val="5B1F6575"/>
    <w:rsid w:val="7BBF2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5259</Words>
  <Characters>6161</Characters>
  <Lines>0</Lines>
  <Paragraphs>0</Paragraphs>
  <TotalTime>1</TotalTime>
  <ScaleCrop>false</ScaleCrop>
  <LinksUpToDate>false</LinksUpToDate>
  <CharactersWithSpaces>6359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2022-09-20T02:03:00Z</dcterms:created>
  <dc:creator>Administrator</dc:creator>
  <cp:lastModifiedBy>Administrator</cp:lastModifiedBy>
  <dcterms:modified xsi:type="dcterms:W3CDTF">2023-03-31T08:06:27Z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D53981AC3D644DDBB3AB2A9991EB12DA</vt:lpwstr>
  </property>
</Properties>
</file>