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hint="eastAsia" w:ascii="宋体" w:hAnsi="宋体"/>
          <w:b/>
          <w:sz w:val="36"/>
          <w:szCs w:val="36"/>
          <w:lang w:eastAsia="zh-CN"/>
        </w:rPr>
      </w:pPr>
      <w:r>
        <w:rPr>
          <w:rFonts w:hint="eastAsia"/>
          <w:b/>
          <w:sz w:val="44"/>
          <w:szCs w:val="44"/>
        </w:rPr>
        <w:t>高台子镇卫生院</w:t>
      </w:r>
    </w:p>
    <w:p>
      <w:pPr>
        <w:spacing w:line="540" w:lineRule="exact"/>
        <w:jc w:val="center"/>
        <w:rPr>
          <w:rFonts w:hint="eastAsia" w:ascii="宋体" w:hAnsi="宋体"/>
          <w:b/>
          <w:sz w:val="36"/>
          <w:szCs w:val="36"/>
          <w:lang w:eastAsia="zh-CN"/>
        </w:rPr>
      </w:pPr>
      <w:r>
        <w:rPr>
          <w:rFonts w:hint="eastAsia" w:ascii="宋体" w:hAnsi="宋体"/>
          <w:b/>
          <w:sz w:val="52"/>
          <w:szCs w:val="52"/>
          <w:lang w:eastAsia="zh-CN"/>
        </w:rPr>
        <w:t>2021</w:t>
      </w:r>
      <w:r>
        <w:rPr>
          <w:rFonts w:hint="eastAsia" w:ascii="宋体" w:hAnsi="宋体"/>
          <w:b/>
          <w:sz w:val="52"/>
          <w:szCs w:val="52"/>
        </w:rPr>
        <w:t>年度部门决算</w:t>
      </w:r>
    </w:p>
    <w:p>
      <w:pPr>
        <w:spacing w:line="540" w:lineRule="exact"/>
        <w:jc w:val="center"/>
        <w:rPr>
          <w:rFonts w:hint="eastAsia" w:ascii="宋体" w:hAnsi="宋体"/>
          <w:b/>
          <w:sz w:val="36"/>
          <w:szCs w:val="36"/>
        </w:rPr>
      </w:pPr>
    </w:p>
    <w:p>
      <w:pPr>
        <w:spacing w:line="540" w:lineRule="exact"/>
        <w:jc w:val="center"/>
        <w:rPr>
          <w:rFonts w:hint="eastAsia" w:ascii="宋体" w:hAnsi="宋体"/>
          <w:b/>
          <w:sz w:val="36"/>
          <w:szCs w:val="36"/>
        </w:rPr>
      </w:pPr>
      <w:r>
        <w:rPr>
          <w:rFonts w:hint="eastAsia" w:ascii="宋体" w:hAnsi="宋体"/>
          <w:b/>
          <w:sz w:val="36"/>
          <w:szCs w:val="36"/>
        </w:rPr>
        <w:t xml:space="preserve">第一部分 </w:t>
      </w:r>
      <w:r>
        <w:rPr>
          <w:rFonts w:hint="eastAsia" w:ascii="宋体" w:hAnsi="宋体"/>
          <w:b/>
          <w:sz w:val="36"/>
          <w:szCs w:val="36"/>
          <w:lang w:eastAsia="zh-CN"/>
        </w:rPr>
        <w:t>部门</w:t>
      </w:r>
      <w:r>
        <w:rPr>
          <w:rFonts w:hint="eastAsia" w:ascii="宋体" w:hAnsi="宋体"/>
          <w:b/>
          <w:sz w:val="36"/>
          <w:szCs w:val="36"/>
        </w:rPr>
        <w:t>概况</w:t>
      </w:r>
    </w:p>
    <w:p>
      <w:pPr>
        <w:spacing w:line="540" w:lineRule="exact"/>
        <w:ind w:firstLine="640" w:firstLineChars="200"/>
        <w:jc w:val="left"/>
        <w:rPr>
          <w:rFonts w:hint="eastAsia" w:ascii="黑体" w:eastAsia="黑体"/>
          <w:sz w:val="32"/>
          <w:szCs w:val="32"/>
        </w:rPr>
      </w:pPr>
    </w:p>
    <w:p>
      <w:pPr>
        <w:rPr>
          <w:rFonts w:hint="eastAsia" w:ascii="宋体" w:hAnsi="宋体" w:eastAsia="宋体" w:cs="宋体"/>
          <w:b w:val="0"/>
          <w:bCs/>
          <w:sz w:val="30"/>
          <w:szCs w:val="30"/>
        </w:rPr>
      </w:pPr>
      <w:r>
        <w:rPr>
          <w:rFonts w:hint="eastAsia" w:ascii="黑体" w:eastAsia="黑体"/>
          <w:sz w:val="32"/>
          <w:szCs w:val="32"/>
        </w:rPr>
        <w:t>一、主要职责</w:t>
      </w:r>
    </w:p>
    <w:p>
      <w:pPr>
        <w:ind w:firstLine="560" w:firstLineChars="200"/>
        <w:rPr>
          <w:rFonts w:hint="eastAsia" w:ascii="宋体" w:hAnsi="宋体" w:cs="宋体"/>
          <w:b w:val="0"/>
          <w:bCs/>
          <w:sz w:val="28"/>
          <w:szCs w:val="28"/>
        </w:rPr>
      </w:pPr>
      <w:r>
        <w:rPr>
          <w:rFonts w:hint="eastAsia" w:ascii="宋体" w:hAnsi="宋体" w:cs="宋体"/>
          <w:b w:val="0"/>
          <w:bCs/>
          <w:sz w:val="28"/>
          <w:szCs w:val="28"/>
        </w:rPr>
        <w:t>以临床医疗、公共卫生为主，综合提供预防保健和基本医疗等服务。</w:t>
      </w:r>
    </w:p>
    <w:p>
      <w:pPr>
        <w:rPr>
          <w:rFonts w:hint="eastAsia" w:ascii="宋体" w:hAnsi="宋体" w:cs="宋体"/>
          <w:b w:val="0"/>
          <w:bCs/>
          <w:sz w:val="28"/>
          <w:szCs w:val="28"/>
        </w:rPr>
      </w:pPr>
      <w:r>
        <w:rPr>
          <w:rFonts w:hint="eastAsia" w:ascii="宋体" w:hAnsi="宋体" w:cs="宋体"/>
          <w:b w:val="0"/>
          <w:bCs/>
          <w:sz w:val="28"/>
          <w:szCs w:val="28"/>
        </w:rPr>
        <w:t>1、临床医疗开设呼吸内科专业、消化内科专业、神经内科专业、心血管内科专业、医学检验科、X线诊断专业、超声诊断专业、中医科等。</w:t>
      </w:r>
    </w:p>
    <w:p>
      <w:pPr>
        <w:rPr>
          <w:rFonts w:hint="eastAsia" w:ascii="宋体" w:hAnsi="宋体" w:cs="宋体"/>
          <w:b w:val="0"/>
          <w:bCs/>
          <w:sz w:val="28"/>
          <w:szCs w:val="28"/>
        </w:rPr>
      </w:pPr>
      <w:r>
        <w:rPr>
          <w:rFonts w:hint="eastAsia" w:ascii="宋体" w:hAnsi="宋体" w:cs="宋体"/>
          <w:b w:val="0"/>
          <w:bCs/>
          <w:sz w:val="28"/>
          <w:szCs w:val="28"/>
        </w:rPr>
        <w:t>2、加强农村疾病预防控制，做好传染病、地方病防治和疫情等农村突发性公共卫生事件报告工作，重点控制严重危害农民身体健康的传染病、地方病、职业病和寄生虫病等重大疾病。</w:t>
      </w:r>
    </w:p>
    <w:p>
      <w:pPr>
        <w:rPr>
          <w:rFonts w:hint="eastAsia" w:ascii="宋体" w:hAnsi="宋体" w:cs="宋体"/>
          <w:b w:val="0"/>
          <w:bCs/>
          <w:sz w:val="28"/>
          <w:szCs w:val="28"/>
        </w:rPr>
      </w:pPr>
      <w:r>
        <w:rPr>
          <w:rFonts w:hint="eastAsia" w:ascii="宋体" w:hAnsi="宋体" w:cs="宋体"/>
          <w:b w:val="0"/>
          <w:bCs/>
          <w:sz w:val="28"/>
          <w:szCs w:val="28"/>
        </w:rPr>
        <w:t>3、认真执行儿童计划免疫。积极开展慢性非传染性疾病的防治工作。</w:t>
      </w:r>
    </w:p>
    <w:p>
      <w:pPr>
        <w:rPr>
          <w:rFonts w:hint="eastAsia" w:ascii="宋体" w:hAnsi="宋体" w:cs="宋体"/>
          <w:b w:val="0"/>
          <w:bCs/>
          <w:sz w:val="28"/>
          <w:szCs w:val="28"/>
        </w:rPr>
      </w:pPr>
      <w:r>
        <w:rPr>
          <w:rFonts w:hint="eastAsia" w:ascii="宋体" w:hAnsi="宋体" w:cs="宋体"/>
          <w:b w:val="0"/>
          <w:bCs/>
          <w:sz w:val="28"/>
          <w:szCs w:val="28"/>
        </w:rPr>
        <w:t>4、做好农村孕产妇和儿童保健工作，提高住院分娩率，改善儿童营养状况。</w:t>
      </w:r>
    </w:p>
    <w:p>
      <w:pPr>
        <w:rPr>
          <w:rFonts w:hint="eastAsia" w:ascii="宋体" w:hAnsi="宋体" w:cs="宋体"/>
          <w:b w:val="0"/>
          <w:bCs/>
          <w:sz w:val="28"/>
          <w:szCs w:val="28"/>
        </w:rPr>
      </w:pPr>
      <w:r>
        <w:rPr>
          <w:rFonts w:hint="eastAsia" w:ascii="宋体" w:hAnsi="宋体" w:cs="宋体"/>
          <w:b w:val="0"/>
          <w:bCs/>
          <w:sz w:val="28"/>
          <w:szCs w:val="28"/>
        </w:rPr>
        <w:t>5、积极做好新型农村合作医疗的服务，计划生育技术指导、康复等工作。</w:t>
      </w:r>
    </w:p>
    <w:p>
      <w:pPr>
        <w:rPr>
          <w:rFonts w:hint="eastAsia" w:ascii="宋体" w:hAnsi="宋体" w:cs="宋体"/>
          <w:b w:val="0"/>
          <w:bCs/>
          <w:sz w:val="28"/>
          <w:szCs w:val="28"/>
        </w:rPr>
      </w:pPr>
      <w:r>
        <w:rPr>
          <w:rFonts w:hint="eastAsia" w:ascii="宋体" w:hAnsi="宋体" w:cs="宋体"/>
          <w:b w:val="0"/>
          <w:bCs/>
          <w:sz w:val="28"/>
          <w:szCs w:val="28"/>
        </w:rPr>
        <w:t>6、开展爱国卫生运动，普及疾病预防和卫生保健知识，指导群众改善居住、饮食、饮水和环境卫生条件，引导和帮助农民建立良好的卫生习惯。</w:t>
      </w:r>
    </w:p>
    <w:p>
      <w:pPr>
        <w:rPr>
          <w:rFonts w:hint="eastAsia" w:ascii="黑体" w:hAnsi="黑体" w:eastAsia="黑体" w:cs="黑体"/>
          <w:b/>
          <w:sz w:val="28"/>
          <w:szCs w:val="28"/>
        </w:rPr>
      </w:pPr>
      <w:r>
        <w:rPr>
          <w:rFonts w:hint="eastAsia" w:ascii="宋体" w:hAnsi="宋体" w:eastAsia="宋体" w:cs="宋体"/>
          <w:b w:val="0"/>
          <w:bCs/>
          <w:sz w:val="28"/>
          <w:szCs w:val="28"/>
        </w:rPr>
        <w:t>二、人员情况：</w:t>
      </w:r>
    </w:p>
    <w:p>
      <w:pPr>
        <w:ind w:firstLine="560" w:firstLineChars="200"/>
        <w:rPr>
          <w:rFonts w:hint="eastAsia" w:ascii="宋体" w:hAnsi="宋体" w:cs="宋体"/>
          <w:b w:val="0"/>
          <w:bCs/>
          <w:sz w:val="28"/>
          <w:szCs w:val="28"/>
        </w:rPr>
      </w:pPr>
      <w:r>
        <w:rPr>
          <w:rFonts w:hint="eastAsia" w:ascii="宋体" w:hAnsi="宋体" w:cs="宋体"/>
          <w:b w:val="0"/>
          <w:bCs/>
          <w:sz w:val="28"/>
          <w:szCs w:val="28"/>
        </w:rPr>
        <w:t>在职人员17人。其中专业技术人员16人，高级职称1人、中级职称8人、初级职称7人、中级工1人。本科学历2人、大专学历4人，中专学历10人。外聘人员2</w:t>
      </w:r>
      <w:r>
        <w:rPr>
          <w:rFonts w:hint="eastAsia" w:ascii="宋体" w:hAnsi="宋体" w:cs="宋体"/>
          <w:b w:val="0"/>
          <w:bCs/>
          <w:sz w:val="28"/>
          <w:szCs w:val="28"/>
          <w:lang w:val="en-US" w:eastAsia="zh-CN"/>
        </w:rPr>
        <w:t>2</w:t>
      </w:r>
      <w:r>
        <w:rPr>
          <w:rFonts w:hint="eastAsia" w:ascii="宋体" w:hAnsi="宋体" w:cs="宋体"/>
          <w:b w:val="0"/>
          <w:bCs/>
          <w:sz w:val="28"/>
          <w:szCs w:val="28"/>
        </w:rPr>
        <w:t>人。</w:t>
      </w:r>
    </w:p>
    <w:p>
      <w:pPr>
        <w:tabs>
          <w:tab w:val="left" w:pos="1318"/>
        </w:tabs>
        <w:rPr>
          <w:rFonts w:hint="eastAsia"/>
          <w:b/>
          <w:sz w:val="32"/>
          <w:szCs w:val="32"/>
        </w:rPr>
      </w:pPr>
    </w:p>
    <w:p>
      <w:pPr>
        <w:spacing w:line="540" w:lineRule="exact"/>
        <w:jc w:val="left"/>
        <w:rPr>
          <w:rFonts w:hint="eastAsia" w:ascii="黑体" w:eastAsia="黑体"/>
          <w:sz w:val="32"/>
          <w:szCs w:val="32"/>
        </w:rPr>
      </w:pPr>
      <w:r>
        <w:rPr>
          <w:rFonts w:hint="eastAsia" w:ascii="黑体" w:eastAsia="黑体"/>
          <w:sz w:val="32"/>
          <w:szCs w:val="32"/>
        </w:rPr>
        <w:t>二、部门决算单位构成</w:t>
      </w:r>
    </w:p>
    <w:p>
      <w:pPr>
        <w:spacing w:line="540" w:lineRule="exact"/>
        <w:jc w:val="left"/>
        <w:rPr>
          <w:rFonts w:hint="eastAsia" w:ascii="仿宋" w:hAnsi="仿宋" w:eastAsia="仿宋" w:cs="仿宋"/>
          <w:sz w:val="32"/>
          <w:szCs w:val="32"/>
          <w:lang w:val="en-US" w:eastAsia="zh-CN"/>
        </w:rPr>
      </w:pPr>
      <w:r>
        <w:rPr>
          <w:rFonts w:hint="eastAsia" w:ascii="仿宋" w:hAnsi="仿宋" w:eastAsia="仿宋" w:cs="仿宋"/>
          <w:sz w:val="32"/>
          <w:szCs w:val="32"/>
        </w:rPr>
        <w:t>纳入本部门决算汇编范围的独立核算单位共</w:t>
      </w:r>
      <w:r>
        <w:rPr>
          <w:rFonts w:hint="eastAsia" w:ascii="仿宋" w:hAnsi="仿宋" w:eastAsia="仿宋" w:cs="仿宋"/>
          <w:sz w:val="32"/>
          <w:szCs w:val="32"/>
          <w:u w:val="none"/>
        </w:rPr>
        <w:t>1</w:t>
      </w:r>
      <w:r>
        <w:rPr>
          <w:rFonts w:hint="eastAsia" w:ascii="仿宋" w:hAnsi="仿宋" w:eastAsia="仿宋" w:cs="仿宋"/>
          <w:sz w:val="32"/>
          <w:szCs w:val="32"/>
        </w:rPr>
        <w:t>个</w:t>
      </w:r>
      <w:r>
        <w:rPr>
          <w:rFonts w:hint="eastAsia" w:ascii="仿宋" w:hAnsi="仿宋" w:eastAsia="仿宋" w:cs="仿宋"/>
          <w:sz w:val="32"/>
          <w:szCs w:val="32"/>
          <w:lang w:val="en-US" w:eastAsia="zh-CN"/>
        </w:rPr>
        <w:t>.</w:t>
      </w:r>
    </w:p>
    <w:p>
      <w:pPr>
        <w:spacing w:line="540" w:lineRule="exact"/>
        <w:ind w:firstLine="640" w:firstLineChars="200"/>
        <w:jc w:val="left"/>
        <w:rPr>
          <w:rFonts w:hint="eastAsia" w:ascii="仿宋_GB2312" w:hAnsi="仿宋_GB2312" w:eastAsia="仿宋_GB2312"/>
          <w:sz w:val="32"/>
          <w:szCs w:val="32"/>
        </w:rPr>
      </w:pPr>
    </w:p>
    <w:p>
      <w:pPr>
        <w:spacing w:line="540" w:lineRule="exact"/>
        <w:ind w:firstLine="723" w:firstLineChars="200"/>
        <w:jc w:val="center"/>
        <w:rPr>
          <w:rFonts w:hint="eastAsia" w:ascii="宋体" w:hAnsi="宋体"/>
          <w:b/>
          <w:sz w:val="36"/>
          <w:szCs w:val="36"/>
        </w:rPr>
      </w:pPr>
      <w:r>
        <w:rPr>
          <w:rFonts w:hint="eastAsia" w:ascii="宋体" w:hAnsi="宋体"/>
          <w:b/>
          <w:sz w:val="36"/>
          <w:szCs w:val="36"/>
        </w:rPr>
        <w:t>第</w:t>
      </w:r>
      <w:r>
        <w:rPr>
          <w:rFonts w:hint="eastAsia" w:ascii="宋体" w:hAnsi="宋体"/>
          <w:b/>
          <w:sz w:val="36"/>
          <w:szCs w:val="36"/>
          <w:lang w:val="en-US" w:eastAsia="zh-CN"/>
        </w:rPr>
        <w:t>二</w:t>
      </w:r>
      <w:r>
        <w:rPr>
          <w:rFonts w:hint="eastAsia" w:ascii="宋体" w:hAnsi="宋体"/>
          <w:b/>
          <w:sz w:val="36"/>
          <w:szCs w:val="36"/>
        </w:rPr>
        <w:t>部分 部门决算情况说明</w:t>
      </w:r>
    </w:p>
    <w:p>
      <w:pPr>
        <w:spacing w:line="540" w:lineRule="exact"/>
        <w:rPr>
          <w:rFonts w:hint="eastAsia" w:ascii="宋体" w:hAnsi="宋体"/>
          <w:b/>
          <w:sz w:val="36"/>
          <w:szCs w:val="36"/>
        </w:rPr>
      </w:pPr>
    </w:p>
    <w:p>
      <w:pPr>
        <w:spacing w:line="540" w:lineRule="exact"/>
        <w:ind w:firstLine="627" w:firstLineChars="196"/>
        <w:rPr>
          <w:rFonts w:hint="eastAsia" w:ascii="黑体" w:hAnsi="黑体" w:eastAsia="黑体"/>
          <w:sz w:val="32"/>
          <w:szCs w:val="32"/>
          <w:lang w:eastAsia="zh-CN"/>
        </w:rPr>
      </w:pPr>
      <w:r>
        <w:rPr>
          <w:rFonts w:hint="eastAsia" w:ascii="黑体" w:hAnsi="黑体" w:eastAsia="黑体"/>
          <w:sz w:val="32"/>
          <w:szCs w:val="32"/>
        </w:rPr>
        <w:t>一、收入支出决算总体情况</w:t>
      </w:r>
      <w:r>
        <w:rPr>
          <w:rFonts w:hint="eastAsia" w:ascii="黑体" w:hAnsi="黑体" w:eastAsia="黑体"/>
          <w:sz w:val="32"/>
          <w:szCs w:val="32"/>
          <w:lang w:eastAsia="zh-CN"/>
        </w:rPr>
        <w:t>说明</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（一）收入总计</w:t>
      </w:r>
      <w:r>
        <w:rPr>
          <w:rFonts w:hint="eastAsia" w:ascii="楷体_GB2312" w:hAnsi="宋体" w:eastAsia="楷体_GB2312"/>
          <w:b/>
          <w:sz w:val="32"/>
          <w:szCs w:val="32"/>
          <w:lang w:val="en-US" w:eastAsia="zh-CN"/>
        </w:rPr>
        <w:t>399.29</w:t>
      </w:r>
      <w:r>
        <w:rPr>
          <w:rFonts w:hint="eastAsia" w:ascii="楷体_GB2312" w:hAnsi="宋体" w:eastAsia="楷体_GB2312"/>
          <w:b/>
          <w:sz w:val="32"/>
          <w:szCs w:val="32"/>
        </w:rPr>
        <w:t>万元，包括：</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1.财政拨款收入</w:t>
      </w:r>
      <w:r>
        <w:rPr>
          <w:rFonts w:hint="eastAsia" w:ascii="楷体_GB2312" w:hAnsi="宋体" w:eastAsia="楷体_GB2312"/>
          <w:b/>
          <w:sz w:val="32"/>
          <w:szCs w:val="32"/>
          <w:lang w:val="en-US" w:eastAsia="zh-CN"/>
        </w:rPr>
        <w:t>12</w:t>
      </w:r>
      <w:r>
        <w:rPr>
          <w:rFonts w:hint="eastAsia" w:ascii="仿宋_GB2312" w:hAnsi="宋体" w:eastAsia="仿宋_GB2312"/>
          <w:sz w:val="32"/>
          <w:szCs w:val="32"/>
        </w:rPr>
        <w:t>万元，占</w:t>
      </w:r>
      <w:r>
        <w:rPr>
          <w:rFonts w:ascii="仿宋_GB2312" w:hAnsi="宋体" w:eastAsia="仿宋_GB2312"/>
          <w:sz w:val="32"/>
          <w:szCs w:val="32"/>
        </w:rPr>
        <w:t>收入总计的</w:t>
      </w:r>
      <w:r>
        <w:rPr>
          <w:rFonts w:hint="eastAsia" w:ascii="仿宋_GB2312" w:hAnsi="宋体" w:eastAsia="仿宋_GB2312"/>
          <w:sz w:val="32"/>
          <w:szCs w:val="32"/>
          <w:lang w:val="en-US" w:eastAsia="zh-CN"/>
        </w:rPr>
        <w:t>3</w:t>
      </w:r>
      <w:r>
        <w:rPr>
          <w:rFonts w:ascii="仿宋_GB2312" w:hAnsi="宋体" w:eastAsia="仿宋_GB2312"/>
          <w:sz w:val="32"/>
          <w:szCs w:val="32"/>
        </w:rPr>
        <w:t>%</w:t>
      </w:r>
      <w:r>
        <w:rPr>
          <w:rFonts w:hint="eastAsia" w:ascii="仿宋_GB2312" w:hAnsi="宋体" w:eastAsia="仿宋_GB2312"/>
          <w:sz w:val="32"/>
          <w:szCs w:val="32"/>
        </w:rPr>
        <w:t>。其中：</w:t>
      </w:r>
      <w:r>
        <w:rPr>
          <w:rFonts w:hint="eastAsia" w:ascii="仿宋_GB2312" w:hAnsi="宋体" w:eastAsia="仿宋_GB2312"/>
          <w:sz w:val="32"/>
          <w:szCs w:val="32"/>
          <w:lang w:val="en-US" w:eastAsia="zh-CN"/>
        </w:rPr>
        <w:t>一般</w:t>
      </w:r>
      <w:r>
        <w:rPr>
          <w:rFonts w:hint="eastAsia" w:ascii="仿宋_GB2312" w:hAnsi="宋体" w:eastAsia="仿宋_GB2312"/>
          <w:sz w:val="32"/>
          <w:szCs w:val="32"/>
        </w:rPr>
        <w:t>公共预算财政拨款收入</w:t>
      </w:r>
      <w:r>
        <w:rPr>
          <w:rFonts w:hint="eastAsia" w:ascii="楷体_GB2312" w:hAnsi="宋体" w:eastAsia="楷体_GB2312"/>
          <w:b/>
          <w:sz w:val="32"/>
          <w:szCs w:val="32"/>
          <w:lang w:val="en-US" w:eastAsia="zh-CN"/>
        </w:rPr>
        <w:t>12</w:t>
      </w:r>
      <w:r>
        <w:rPr>
          <w:rFonts w:hint="eastAsia" w:ascii="仿宋_GB2312" w:hAnsi="宋体" w:eastAsia="仿宋_GB2312"/>
          <w:sz w:val="32"/>
          <w:szCs w:val="32"/>
        </w:rPr>
        <w:t>万元，政府性基金收入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元</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国有资本经营预算财政拨款收入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元。</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2.上级补助收入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3.事业收入</w:t>
      </w:r>
      <w:r>
        <w:rPr>
          <w:rFonts w:hint="eastAsia" w:ascii="仿宋_GB2312" w:hAnsi="宋体" w:eastAsia="仿宋_GB2312"/>
          <w:sz w:val="32"/>
          <w:szCs w:val="32"/>
          <w:lang w:val="en-US" w:eastAsia="zh-CN"/>
        </w:rPr>
        <w:t>387.29</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96.9</w:t>
      </w:r>
      <w:r>
        <w:rPr>
          <w:rFonts w:hint="eastAsia" w:ascii="仿宋_GB2312" w:hAnsi="宋体" w:eastAsia="仿宋_GB2312"/>
          <w:sz w:val="32"/>
          <w:szCs w:val="32"/>
        </w:rPr>
        <w:t>%。主</w:t>
      </w:r>
      <w:r>
        <w:rPr>
          <w:rFonts w:hint="eastAsia" w:ascii="仿宋_GB2312" w:hAnsi="宋体" w:eastAsia="仿宋_GB2312"/>
          <w:sz w:val="32"/>
          <w:szCs w:val="32"/>
          <w:lang w:eastAsia="zh-CN"/>
        </w:rPr>
        <w:t>要是医疗</w:t>
      </w:r>
      <w:r>
        <w:rPr>
          <w:rFonts w:hint="eastAsia" w:ascii="仿宋_GB2312" w:hAnsi="宋体" w:eastAsia="仿宋_GB2312"/>
          <w:sz w:val="32"/>
          <w:szCs w:val="32"/>
        </w:rPr>
        <w:t>收入。</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4.经营收入</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5.附属单位上缴收入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6.其他收入</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7.</w:t>
      </w:r>
      <w:r>
        <w:rPr>
          <w:rFonts w:hint="eastAsia" w:ascii="仿宋_GB2312" w:hAnsi="宋体" w:eastAsia="仿宋_GB2312"/>
          <w:sz w:val="32"/>
          <w:szCs w:val="32"/>
          <w:lang w:val="en-US" w:eastAsia="zh-CN"/>
        </w:rPr>
        <w:t>使用非财政拨款结余0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8.上年结转和结余</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万元，占收入总计的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default" w:ascii="仿宋_GB2312" w:hAnsi="宋体" w:eastAsia="仿宋_GB2312"/>
          <w:sz w:val="32"/>
          <w:szCs w:val="32"/>
          <w:lang w:val="en-US"/>
        </w:rPr>
      </w:pPr>
      <w:r>
        <w:rPr>
          <w:rFonts w:hint="eastAsia" w:ascii="仿宋_GB2312" w:hAnsi="宋体" w:eastAsia="仿宋_GB2312"/>
          <w:sz w:val="32"/>
          <w:szCs w:val="32"/>
        </w:rPr>
        <w:t>与上年相比，今年支出</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62.27</w:t>
      </w:r>
      <w:r>
        <w:rPr>
          <w:rFonts w:hint="eastAsia" w:ascii="仿宋_GB2312" w:hAnsi="宋体" w:eastAsia="仿宋_GB2312"/>
          <w:sz w:val="32"/>
          <w:szCs w:val="32"/>
        </w:rPr>
        <w:t>万元，</w:t>
      </w:r>
      <w:r>
        <w:rPr>
          <w:rFonts w:hint="eastAsia" w:ascii="仿宋_GB2312" w:hAnsi="宋体" w:eastAsia="仿宋_GB2312"/>
          <w:sz w:val="32"/>
          <w:szCs w:val="32"/>
          <w:lang w:eastAsia="zh-CN"/>
        </w:rPr>
        <w:t>增长</w:t>
      </w:r>
      <w:r>
        <w:rPr>
          <w:rFonts w:hint="eastAsia" w:ascii="仿宋_GB2312" w:hAnsi="宋体" w:eastAsia="仿宋_GB2312"/>
          <w:sz w:val="32"/>
          <w:szCs w:val="32"/>
          <w:lang w:val="en-US" w:eastAsia="zh-CN"/>
        </w:rPr>
        <w:t>18.48%</w:t>
      </w:r>
      <w:r>
        <w:rPr>
          <w:rFonts w:hint="eastAsia" w:ascii="仿宋_GB2312" w:hAnsi="宋体" w:eastAsia="仿宋_GB2312"/>
          <w:sz w:val="32"/>
          <w:szCs w:val="32"/>
        </w:rPr>
        <w:t>，主要原因：</w:t>
      </w:r>
      <w:r>
        <w:rPr>
          <w:rFonts w:hint="eastAsia" w:ascii="仿宋_GB2312" w:hAnsi="宋体" w:eastAsia="仿宋_GB2312"/>
          <w:sz w:val="32"/>
          <w:szCs w:val="32"/>
          <w:lang w:val="en-US" w:eastAsia="zh-CN"/>
        </w:rPr>
        <w:t>事业收入增加。</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（二）支出总计</w:t>
      </w:r>
      <w:r>
        <w:rPr>
          <w:rFonts w:hint="eastAsia" w:ascii="楷体_GB2312" w:hAnsi="宋体" w:eastAsia="楷体_GB2312"/>
          <w:b/>
          <w:sz w:val="32"/>
          <w:szCs w:val="32"/>
          <w:lang w:val="en-US" w:eastAsia="zh-CN"/>
        </w:rPr>
        <w:t>399.29</w:t>
      </w:r>
      <w:r>
        <w:rPr>
          <w:rFonts w:hint="eastAsia" w:ascii="楷体_GB2312" w:hAnsi="宋体" w:eastAsia="楷体_GB2312"/>
          <w:b/>
          <w:sz w:val="32"/>
          <w:szCs w:val="32"/>
        </w:rPr>
        <w:t>万元，包括：</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1.基本支出</w:t>
      </w:r>
      <w:r>
        <w:rPr>
          <w:rFonts w:hint="eastAsia" w:ascii="仿宋_GB2312" w:hAnsi="宋体" w:eastAsia="仿宋_GB2312"/>
          <w:sz w:val="32"/>
          <w:szCs w:val="32"/>
          <w:lang w:val="en-US" w:eastAsia="zh-CN"/>
        </w:rPr>
        <w:t>399.29</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%。主要是为保障机构正常运转、完成日常工作任务而发生的各项支出，其中：工资福利支出</w:t>
      </w:r>
      <w:r>
        <w:rPr>
          <w:rFonts w:hint="eastAsia" w:ascii="楷体_GB2312" w:hAnsi="宋体" w:eastAsia="楷体_GB2312"/>
          <w:b/>
          <w:sz w:val="32"/>
          <w:szCs w:val="32"/>
          <w:lang w:val="en-US" w:eastAsia="zh-CN"/>
        </w:rPr>
        <w:t>301.22</w:t>
      </w:r>
      <w:r>
        <w:rPr>
          <w:rFonts w:hint="eastAsia" w:ascii="仿宋_GB2312" w:hAnsi="宋体" w:eastAsia="仿宋_GB2312"/>
          <w:sz w:val="32"/>
          <w:szCs w:val="32"/>
        </w:rPr>
        <w:t>万元，对个人和家庭的补助支出</w:t>
      </w:r>
      <w:r>
        <w:rPr>
          <w:rFonts w:hint="eastAsia" w:ascii="楷体_GB2312" w:hAnsi="宋体" w:eastAsia="楷体_GB2312"/>
          <w:b/>
          <w:sz w:val="32"/>
          <w:szCs w:val="32"/>
          <w:lang w:val="en-US" w:eastAsia="zh-CN"/>
        </w:rPr>
        <w:t>0.16</w:t>
      </w:r>
      <w:r>
        <w:rPr>
          <w:rFonts w:hint="eastAsia" w:ascii="仿宋_GB2312" w:hAnsi="宋体" w:eastAsia="仿宋_GB2312"/>
          <w:sz w:val="32"/>
          <w:szCs w:val="32"/>
        </w:rPr>
        <w:t>万元，商品和服务支出</w:t>
      </w:r>
      <w:r>
        <w:rPr>
          <w:rFonts w:hint="eastAsia" w:ascii="楷体_GB2312" w:hAnsi="宋体" w:eastAsia="楷体_GB2312"/>
          <w:b/>
          <w:sz w:val="32"/>
          <w:szCs w:val="32"/>
          <w:lang w:val="en-US" w:eastAsia="zh-CN"/>
        </w:rPr>
        <w:t>97.91</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3.上缴上级支出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rPr>
        <w:t>4.经营支出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rPr>
        <w:t>5.对附属单位补助支出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万元，占支出总计的</w:t>
      </w:r>
      <w:r>
        <w:rPr>
          <w:rFonts w:hint="eastAsia" w:ascii="仿宋_GB2312" w:hAnsi="宋体" w:eastAsia="仿宋_GB2312"/>
          <w:sz w:val="32"/>
          <w:szCs w:val="32"/>
          <w:lang w:val="en-US" w:eastAsia="zh-CN"/>
        </w:rPr>
        <w:t>0</w:t>
      </w:r>
      <w:r>
        <w:rPr>
          <w:rFonts w:hint="eastAsia" w:ascii="仿宋_GB2312" w:hAnsi="宋体" w:eastAsia="仿宋_GB2312"/>
          <w:sz w:val="32"/>
          <w:szCs w:val="32"/>
        </w:rPr>
        <w:t>%。</w:t>
      </w:r>
    </w:p>
    <w:p>
      <w:pPr>
        <w:spacing w:line="540" w:lineRule="exact"/>
        <w:ind w:firstLine="660"/>
        <w:rPr>
          <w:rFonts w:hint="eastAsia" w:ascii="仿宋" w:hAnsi="仿宋" w:eastAsia="仿宋" w:cs="仿宋"/>
          <w:sz w:val="32"/>
          <w:szCs w:val="32"/>
          <w:lang w:eastAsia="zh-CN"/>
        </w:rPr>
      </w:pPr>
      <w:r>
        <w:rPr>
          <w:rFonts w:hint="eastAsia" w:ascii="仿宋_GB2312" w:hAnsi="宋体" w:eastAsia="仿宋_GB2312"/>
          <w:sz w:val="32"/>
          <w:szCs w:val="32"/>
        </w:rPr>
        <w:t>与上年相比，今年支出</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62.27</w:t>
      </w:r>
      <w:r>
        <w:rPr>
          <w:rFonts w:hint="eastAsia" w:ascii="仿宋_GB2312" w:hAnsi="宋体" w:eastAsia="仿宋_GB2312"/>
          <w:sz w:val="32"/>
          <w:szCs w:val="32"/>
        </w:rPr>
        <w:t>万元，</w:t>
      </w:r>
      <w:r>
        <w:rPr>
          <w:rFonts w:hint="eastAsia" w:ascii="仿宋_GB2312" w:hAnsi="宋体" w:eastAsia="仿宋_GB2312"/>
          <w:sz w:val="32"/>
          <w:szCs w:val="32"/>
          <w:lang w:eastAsia="zh-CN"/>
        </w:rPr>
        <w:t>增长</w:t>
      </w:r>
      <w:r>
        <w:rPr>
          <w:rFonts w:hint="eastAsia" w:ascii="仿宋_GB2312" w:hAnsi="宋体" w:eastAsia="仿宋_GB2312"/>
          <w:sz w:val="32"/>
          <w:szCs w:val="32"/>
          <w:lang w:val="en-US" w:eastAsia="zh-CN"/>
        </w:rPr>
        <w:t>18.48%</w:t>
      </w:r>
      <w:r>
        <w:rPr>
          <w:rFonts w:hint="eastAsia" w:ascii="仿宋_GB2312" w:hAnsi="宋体" w:eastAsia="仿宋_GB2312"/>
          <w:sz w:val="32"/>
          <w:szCs w:val="32"/>
        </w:rPr>
        <w:t>，主要原因：</w:t>
      </w:r>
      <w:r>
        <w:rPr>
          <w:rFonts w:hint="eastAsia" w:ascii="仿宋_GB2312" w:hAnsi="宋体" w:eastAsia="仿宋_GB2312"/>
          <w:sz w:val="32"/>
          <w:szCs w:val="32"/>
          <w:lang w:eastAsia="zh-CN"/>
        </w:rPr>
        <w:t>用于</w:t>
      </w:r>
      <w:r>
        <w:rPr>
          <w:rFonts w:hint="eastAsia" w:ascii="仿宋" w:hAnsi="仿宋" w:eastAsia="仿宋" w:cs="仿宋"/>
          <w:sz w:val="32"/>
          <w:szCs w:val="32"/>
          <w:lang w:eastAsia="zh-CN"/>
        </w:rPr>
        <w:t>防疫工作</w:t>
      </w:r>
    </w:p>
    <w:p>
      <w:pPr>
        <w:numPr>
          <w:ilvl w:val="0"/>
          <w:numId w:val="1"/>
        </w:num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年末结转和结余</w:t>
      </w:r>
      <w:r>
        <w:rPr>
          <w:rFonts w:hint="eastAsia" w:ascii="楷体_GB2312" w:hAnsi="宋体" w:eastAsia="楷体_GB2312"/>
          <w:b/>
          <w:sz w:val="32"/>
          <w:szCs w:val="32"/>
          <w:lang w:val="en-US" w:eastAsia="zh-CN"/>
        </w:rPr>
        <w:t>0</w:t>
      </w:r>
      <w:r>
        <w:rPr>
          <w:rFonts w:hint="eastAsia" w:ascii="楷体_GB2312" w:hAnsi="宋体" w:eastAsia="楷体_GB2312"/>
          <w:b/>
          <w:sz w:val="32"/>
          <w:szCs w:val="32"/>
        </w:rPr>
        <w:t>万元。</w:t>
      </w:r>
    </w:p>
    <w:p>
      <w:pPr>
        <w:spacing w:line="540" w:lineRule="exact"/>
        <w:ind w:firstLine="66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比上年增减0万元</w:t>
      </w:r>
    </w:p>
    <w:p>
      <w:pPr>
        <w:spacing w:line="540" w:lineRule="exact"/>
        <w:ind w:firstLine="660"/>
        <w:rPr>
          <w:rFonts w:hint="eastAsia" w:ascii="黑体" w:hAnsi="黑体" w:eastAsia="黑体"/>
          <w:sz w:val="32"/>
          <w:szCs w:val="32"/>
          <w:lang w:eastAsia="zh-CN"/>
        </w:rPr>
      </w:pPr>
      <w:r>
        <w:rPr>
          <w:rFonts w:hint="eastAsia" w:ascii="黑体" w:hAnsi="黑体" w:eastAsia="黑体"/>
          <w:sz w:val="32"/>
          <w:szCs w:val="32"/>
        </w:rPr>
        <w:t>二、财政拨款支出决算情况</w:t>
      </w:r>
      <w:r>
        <w:rPr>
          <w:rFonts w:hint="eastAsia" w:ascii="黑体" w:hAnsi="黑体" w:eastAsia="黑体"/>
          <w:sz w:val="32"/>
          <w:szCs w:val="32"/>
          <w:lang w:eastAsia="zh-CN"/>
        </w:rPr>
        <w:t>说明</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（一）总体情况。</w:t>
      </w:r>
    </w:p>
    <w:p>
      <w:pPr>
        <w:spacing w:line="540" w:lineRule="exact"/>
        <w:ind w:firstLine="660"/>
        <w:rPr>
          <w:rFonts w:hint="eastAsia" w:ascii="仿宋_GB2312" w:hAnsi="宋体" w:eastAsia="仿宋_GB2312"/>
          <w:sz w:val="32"/>
          <w:szCs w:val="32"/>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年度财政拨款支出</w:t>
      </w:r>
      <w:r>
        <w:rPr>
          <w:rFonts w:hint="eastAsia" w:ascii="楷体_GB2312" w:hAnsi="宋体" w:eastAsia="楷体_GB2312"/>
          <w:b/>
          <w:sz w:val="32"/>
          <w:szCs w:val="32"/>
          <w:lang w:val="en-US" w:eastAsia="zh-CN"/>
        </w:rPr>
        <w:t>12</w:t>
      </w:r>
      <w:r>
        <w:rPr>
          <w:rFonts w:hint="eastAsia" w:ascii="仿宋_GB2312" w:hAnsi="宋体" w:eastAsia="仿宋_GB2312"/>
          <w:sz w:val="32"/>
          <w:szCs w:val="32"/>
        </w:rPr>
        <w:t>元，其中：基本支出</w:t>
      </w:r>
      <w:r>
        <w:rPr>
          <w:rFonts w:hint="eastAsia" w:ascii="楷体_GB2312" w:hAnsi="宋体" w:eastAsia="楷体_GB2312"/>
          <w:b/>
          <w:sz w:val="32"/>
          <w:szCs w:val="32"/>
          <w:lang w:val="en-US" w:eastAsia="zh-CN"/>
        </w:rPr>
        <w:t>12</w:t>
      </w:r>
      <w:r>
        <w:rPr>
          <w:rFonts w:hint="eastAsia" w:ascii="仿宋_GB2312" w:hAnsi="宋体" w:eastAsia="仿宋_GB2312"/>
          <w:sz w:val="32"/>
          <w:szCs w:val="32"/>
        </w:rPr>
        <w:t>万元，项目支出</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万元。与</w:t>
      </w:r>
      <w:r>
        <w:rPr>
          <w:rFonts w:ascii="仿宋_GB2312" w:hAnsi="宋体" w:eastAsia="仿宋_GB2312"/>
          <w:sz w:val="32"/>
          <w:szCs w:val="32"/>
        </w:rPr>
        <w:t>上年相比，</w:t>
      </w:r>
      <w:r>
        <w:rPr>
          <w:rFonts w:hint="eastAsia" w:ascii="仿宋_GB2312" w:hAnsi="宋体" w:eastAsia="仿宋_GB2312"/>
          <w:sz w:val="32"/>
          <w:szCs w:val="32"/>
        </w:rPr>
        <w:t>财政拨款支出</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36</w:t>
      </w:r>
      <w:r>
        <w:rPr>
          <w:rFonts w:hint="eastAsia" w:ascii="仿宋_GB2312" w:hAnsi="宋体" w:eastAsia="仿宋_GB2312"/>
          <w:sz w:val="32"/>
          <w:szCs w:val="32"/>
        </w:rPr>
        <w:t>万元，</w:t>
      </w:r>
      <w:r>
        <w:rPr>
          <w:rFonts w:hint="eastAsia" w:ascii="仿宋_GB2312" w:hAnsi="宋体" w:eastAsia="仿宋_GB2312"/>
          <w:sz w:val="32"/>
          <w:szCs w:val="32"/>
          <w:lang w:eastAsia="zh-CN"/>
        </w:rPr>
        <w:t>减少</w:t>
      </w:r>
      <w:r>
        <w:rPr>
          <w:rFonts w:hint="eastAsia" w:ascii="仿宋_GB2312" w:hAnsi="宋体" w:eastAsia="仿宋_GB2312"/>
          <w:sz w:val="32"/>
          <w:szCs w:val="32"/>
          <w:lang w:val="en-US" w:eastAsia="zh-CN"/>
        </w:rPr>
        <w:t>75%</w:t>
      </w:r>
      <w:r>
        <w:rPr>
          <w:rFonts w:hint="eastAsia" w:ascii="仿宋_GB2312" w:hAnsi="宋体" w:eastAsia="仿宋_GB2312"/>
          <w:sz w:val="32"/>
          <w:szCs w:val="32"/>
        </w:rPr>
        <w:t>主要原因：</w:t>
      </w:r>
      <w:r>
        <w:rPr>
          <w:rFonts w:hint="eastAsia" w:ascii="仿宋" w:hAnsi="仿宋" w:eastAsia="仿宋" w:cs="仿宋"/>
          <w:sz w:val="32"/>
          <w:szCs w:val="32"/>
          <w:lang w:eastAsia="zh-CN"/>
        </w:rPr>
        <w:t>财政拨款减少</w:t>
      </w:r>
      <w:r>
        <w:rPr>
          <w:rFonts w:hint="eastAsia" w:ascii="仿宋" w:hAnsi="仿宋" w:eastAsia="仿宋" w:cs="仿宋"/>
          <w:sz w:val="32"/>
          <w:szCs w:val="32"/>
          <w:lang w:val="en-US" w:eastAsia="zh-CN"/>
        </w:rPr>
        <w:t>.</w:t>
      </w:r>
      <w:r>
        <w:rPr>
          <w:rFonts w:hint="eastAsia" w:ascii="仿宋_GB2312" w:hAnsi="宋体" w:eastAsia="仿宋_GB2312"/>
          <w:sz w:val="32"/>
          <w:szCs w:val="32"/>
        </w:rPr>
        <w:t>与年初预算相比，</w:t>
      </w:r>
      <w:r>
        <w:rPr>
          <w:rFonts w:hint="eastAsia" w:ascii="仿宋_GB2312" w:hAnsi="宋体" w:eastAsia="仿宋_GB2312"/>
          <w:sz w:val="32"/>
          <w:szCs w:val="32"/>
          <w:lang w:eastAsia="zh-CN"/>
        </w:rPr>
        <w:t>2021</w:t>
      </w:r>
      <w:r>
        <w:rPr>
          <w:rFonts w:hint="eastAsia" w:ascii="仿宋_GB2312" w:hAnsi="宋体" w:eastAsia="仿宋_GB2312"/>
          <w:sz w:val="32"/>
          <w:szCs w:val="32"/>
          <w:lang w:val="en-US" w:eastAsia="zh-CN"/>
        </w:rPr>
        <w:t>年度</w:t>
      </w:r>
      <w:r>
        <w:rPr>
          <w:rFonts w:hint="eastAsia" w:ascii="仿宋_GB2312" w:hAnsi="宋体" w:eastAsia="仿宋_GB2312"/>
          <w:sz w:val="32"/>
          <w:szCs w:val="32"/>
        </w:rPr>
        <w:t>财政拨款支出完成年初预算的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其中：基本支出完成年初预算的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，项目完成年初预算的</w:t>
      </w:r>
      <w:r>
        <w:rPr>
          <w:rFonts w:hint="eastAsia" w:ascii="仿宋_GB2312" w:hAnsi="宋体" w:eastAsia="仿宋_GB2312"/>
          <w:sz w:val="32"/>
          <w:szCs w:val="32"/>
          <w:lang w:val="en-US" w:eastAsia="zh-CN"/>
        </w:rPr>
        <w:t>100%</w:t>
      </w:r>
      <w:r>
        <w:rPr>
          <w:rFonts w:hint="eastAsia" w:ascii="仿宋_GB2312" w:hAnsi="宋体" w:eastAsia="仿宋_GB2312"/>
          <w:sz w:val="32"/>
          <w:szCs w:val="32"/>
        </w:rPr>
        <w:t>。</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（二）</w:t>
      </w:r>
      <w:r>
        <w:rPr>
          <w:rFonts w:hint="eastAsia" w:ascii="楷体_GB2312" w:hAnsi="宋体" w:eastAsia="楷体_GB2312"/>
          <w:b/>
          <w:sz w:val="32"/>
          <w:szCs w:val="32"/>
          <w:lang w:val="en-US" w:eastAsia="zh-CN"/>
        </w:rPr>
        <w:t>一般公共预算财政拨款支出</w:t>
      </w:r>
      <w:r>
        <w:rPr>
          <w:rFonts w:hint="eastAsia" w:ascii="楷体_GB2312" w:hAnsi="宋体" w:eastAsia="楷体_GB2312"/>
          <w:b/>
          <w:sz w:val="32"/>
          <w:szCs w:val="32"/>
        </w:rPr>
        <w:t>情况。</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年度一般公共预算财政拨款支出</w:t>
      </w:r>
      <w:r>
        <w:rPr>
          <w:rFonts w:hint="eastAsia" w:ascii="楷体_GB2312" w:hAnsi="宋体" w:eastAsia="楷体_GB2312"/>
          <w:b/>
          <w:sz w:val="32"/>
          <w:szCs w:val="32"/>
          <w:lang w:val="en-US" w:eastAsia="zh-CN"/>
        </w:rPr>
        <w:t>12</w:t>
      </w:r>
      <w:r>
        <w:rPr>
          <w:rFonts w:hint="eastAsia" w:ascii="仿宋_GB2312" w:hAnsi="宋体" w:eastAsia="仿宋_GB2312"/>
          <w:sz w:val="32"/>
          <w:szCs w:val="32"/>
        </w:rPr>
        <w:t>万元，按支出功能分类科目分，包括：</w:t>
      </w:r>
      <w:r>
        <w:rPr>
          <w:rFonts w:hint="eastAsia" w:ascii="仿宋_GB2312" w:hAnsi="宋体" w:eastAsia="仿宋_GB2312"/>
          <w:sz w:val="32"/>
          <w:szCs w:val="32"/>
          <w:lang w:eastAsia="zh-CN"/>
        </w:rPr>
        <w:t>基本支出</w:t>
      </w:r>
      <w:r>
        <w:rPr>
          <w:rFonts w:hint="eastAsia" w:ascii="仿宋_GB2312" w:hAnsi="宋体" w:eastAsia="仿宋_GB2312"/>
          <w:sz w:val="32"/>
          <w:szCs w:val="32"/>
          <w:lang w:val="en-US" w:eastAsia="zh-CN"/>
        </w:rPr>
        <w:t>12万,占</w:t>
      </w:r>
      <w:r>
        <w:rPr>
          <w:rFonts w:hint="eastAsia" w:ascii="仿宋_GB2312" w:hAnsi="宋体" w:eastAsia="仿宋_GB2312"/>
          <w:sz w:val="32"/>
          <w:szCs w:val="32"/>
        </w:rPr>
        <w:t>一般公共预算财政拨款支出</w:t>
      </w:r>
      <w:r>
        <w:rPr>
          <w:rFonts w:hint="eastAsia" w:ascii="仿宋_GB2312" w:hAnsi="宋体" w:eastAsia="仿宋_GB2312"/>
          <w:sz w:val="32"/>
          <w:szCs w:val="32"/>
          <w:lang w:eastAsia="zh-CN"/>
        </w:rPr>
        <w:t>的</w:t>
      </w:r>
      <w:r>
        <w:rPr>
          <w:rFonts w:hint="eastAsia" w:ascii="仿宋_GB2312" w:hAnsi="宋体" w:eastAsia="仿宋_GB2312"/>
          <w:sz w:val="32"/>
          <w:szCs w:val="32"/>
          <w:lang w:val="en-US" w:eastAsia="zh-CN"/>
        </w:rPr>
        <w:t>100%</w:t>
      </w:r>
    </w:p>
    <w:p>
      <w:pPr>
        <w:spacing w:line="540" w:lineRule="exact"/>
        <w:ind w:firstLine="66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基本支出包括:人员经费中的基本工资支出12万元,占基本支出100%</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w:t>
      </w:r>
      <w:r>
        <w:rPr>
          <w:rFonts w:hint="eastAsia" w:ascii="楷体_GB2312" w:hAnsi="宋体" w:eastAsia="楷体_GB2312"/>
          <w:b/>
          <w:sz w:val="32"/>
          <w:szCs w:val="32"/>
          <w:lang w:val="en-US" w:eastAsia="zh-CN"/>
        </w:rPr>
        <w:t>三</w:t>
      </w:r>
      <w:r>
        <w:rPr>
          <w:rFonts w:hint="eastAsia" w:ascii="楷体_GB2312" w:hAnsi="宋体" w:eastAsia="楷体_GB2312"/>
          <w:b/>
          <w:sz w:val="32"/>
          <w:szCs w:val="32"/>
        </w:rPr>
        <w:t>）</w:t>
      </w:r>
      <w:r>
        <w:rPr>
          <w:rFonts w:hint="eastAsia" w:ascii="楷体_GB2312" w:hAnsi="宋体" w:eastAsia="楷体_GB2312"/>
          <w:b/>
          <w:sz w:val="32"/>
          <w:szCs w:val="32"/>
          <w:lang w:val="en-US" w:eastAsia="zh-CN"/>
        </w:rPr>
        <w:t>政府性基金预算财政拨款支出</w:t>
      </w:r>
      <w:r>
        <w:rPr>
          <w:rFonts w:hint="eastAsia" w:ascii="楷体_GB2312" w:hAnsi="宋体" w:eastAsia="楷体_GB2312"/>
          <w:b/>
          <w:sz w:val="32"/>
          <w:szCs w:val="32"/>
        </w:rPr>
        <w:t>情况。</w:t>
      </w:r>
    </w:p>
    <w:p>
      <w:pPr>
        <w:spacing w:line="540" w:lineRule="exact"/>
        <w:ind w:firstLine="66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年度政府性基金预算财政拨款支出</w:t>
      </w:r>
      <w:r>
        <w:rPr>
          <w:rFonts w:hint="eastAsia" w:ascii="楷体_GB2312" w:hAnsi="宋体" w:eastAsia="楷体_GB2312"/>
          <w:b/>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.与年初预算数、上年数保持一致。</w:t>
      </w:r>
    </w:p>
    <w:p>
      <w:pPr>
        <w:spacing w:line="540" w:lineRule="exact"/>
        <w:ind w:firstLine="660"/>
        <w:rPr>
          <w:rFonts w:hint="eastAsia" w:ascii="楷体_GB2312" w:hAnsi="宋体" w:eastAsia="楷体_GB2312"/>
          <w:b/>
          <w:sz w:val="32"/>
          <w:szCs w:val="32"/>
        </w:rPr>
      </w:pPr>
      <w:r>
        <w:rPr>
          <w:rFonts w:hint="eastAsia" w:ascii="楷体_GB2312" w:hAnsi="宋体" w:eastAsia="楷体_GB2312"/>
          <w:b/>
          <w:sz w:val="32"/>
          <w:szCs w:val="32"/>
        </w:rPr>
        <w:t>（</w:t>
      </w:r>
      <w:r>
        <w:rPr>
          <w:rFonts w:hint="eastAsia" w:ascii="楷体_GB2312" w:hAnsi="宋体" w:eastAsia="楷体_GB2312"/>
          <w:b/>
          <w:sz w:val="32"/>
          <w:szCs w:val="32"/>
          <w:lang w:val="en-US" w:eastAsia="zh-CN"/>
        </w:rPr>
        <w:t>四</w:t>
      </w:r>
      <w:r>
        <w:rPr>
          <w:rFonts w:hint="eastAsia" w:ascii="楷体_GB2312" w:hAnsi="宋体" w:eastAsia="楷体_GB2312"/>
          <w:b/>
          <w:sz w:val="32"/>
          <w:szCs w:val="32"/>
        </w:rPr>
        <w:t>）</w:t>
      </w:r>
      <w:r>
        <w:rPr>
          <w:rFonts w:hint="eastAsia" w:ascii="楷体_GB2312" w:hAnsi="宋体" w:eastAsia="楷体_GB2312"/>
          <w:b/>
          <w:sz w:val="32"/>
          <w:szCs w:val="32"/>
          <w:lang w:val="en-US" w:eastAsia="zh-CN"/>
        </w:rPr>
        <w:t>国有资本经营预算财政拨款支出</w:t>
      </w:r>
      <w:r>
        <w:rPr>
          <w:rFonts w:hint="eastAsia" w:ascii="楷体_GB2312" w:hAnsi="宋体" w:eastAsia="楷体_GB2312"/>
          <w:b/>
          <w:sz w:val="32"/>
          <w:szCs w:val="32"/>
        </w:rPr>
        <w:t>情况。</w:t>
      </w:r>
    </w:p>
    <w:p>
      <w:pPr>
        <w:spacing w:line="540" w:lineRule="exact"/>
        <w:ind w:firstLine="660"/>
        <w:rPr>
          <w:rFonts w:hint="default" w:ascii="仿宋_GB2312" w:hAnsi="宋体" w:eastAsia="仿宋_GB2312"/>
          <w:sz w:val="32"/>
          <w:szCs w:val="32"/>
          <w:lang w:val="en-US" w:eastAsia="zh-CN"/>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年度国有资本经营预算财政拨款支出</w:t>
      </w:r>
      <w:r>
        <w:rPr>
          <w:rFonts w:hint="eastAsia" w:ascii="仿宋_GB2312" w:hAnsi="宋体" w:eastAsia="仿宋_GB2312"/>
          <w:sz w:val="32"/>
          <w:szCs w:val="32"/>
          <w:lang w:val="en-US" w:eastAsia="zh-CN"/>
        </w:rPr>
        <w:t>0</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与年初预算数、上年数保持一致。</w:t>
      </w:r>
    </w:p>
    <w:p>
      <w:pPr>
        <w:spacing w:line="540" w:lineRule="exact"/>
        <w:ind w:firstLine="660"/>
        <w:rPr>
          <w:rFonts w:hint="eastAsia" w:ascii="黑体" w:hAnsi="黑体" w:eastAsia="黑体"/>
          <w:sz w:val="32"/>
          <w:szCs w:val="32"/>
          <w:lang w:eastAsia="zh-CN"/>
        </w:rPr>
      </w:pPr>
      <w:r>
        <w:rPr>
          <w:rFonts w:hint="eastAsia" w:ascii="黑体" w:hAnsi="黑体" w:eastAsia="黑体"/>
          <w:sz w:val="32"/>
          <w:szCs w:val="32"/>
        </w:rPr>
        <w:t>三、一般公共预算财政拨款“三公”经费支出决算情况</w:t>
      </w:r>
      <w:r>
        <w:rPr>
          <w:rFonts w:hint="eastAsia" w:ascii="黑体" w:hAnsi="黑体" w:eastAsia="黑体"/>
          <w:sz w:val="32"/>
          <w:szCs w:val="32"/>
          <w:lang w:eastAsia="zh-CN"/>
        </w:rPr>
        <w:t>说明</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2021年度一般公共预算财政拨款安排的“三公”经费支出</w:t>
      </w:r>
      <w:r>
        <w:rPr>
          <w:rFonts w:hint="eastAsia" w:ascii="楷体_GB2312" w:hAnsi="宋体" w:eastAsia="楷体_GB2312"/>
          <w:b/>
          <w:sz w:val="32"/>
          <w:szCs w:val="32"/>
        </w:rPr>
        <w:t>0</w:t>
      </w:r>
      <w:r>
        <w:rPr>
          <w:rFonts w:hint="eastAsia" w:ascii="仿宋_GB2312" w:hAnsi="宋体" w:eastAsia="仿宋_GB2312"/>
          <w:sz w:val="32"/>
          <w:szCs w:val="32"/>
        </w:rPr>
        <w:t>万元，完成年初预算的100%。其中：因公出国（境）费</w:t>
      </w:r>
      <w:r>
        <w:rPr>
          <w:rFonts w:hint="eastAsia" w:ascii="楷体_GB2312" w:hAnsi="宋体" w:eastAsia="楷体_GB2312"/>
          <w:b/>
          <w:sz w:val="32"/>
          <w:szCs w:val="32"/>
        </w:rPr>
        <w:t>0</w:t>
      </w:r>
      <w:r>
        <w:rPr>
          <w:rFonts w:hint="eastAsia" w:ascii="仿宋_GB2312" w:hAnsi="宋体" w:eastAsia="仿宋_GB2312"/>
          <w:sz w:val="32"/>
          <w:szCs w:val="32"/>
        </w:rPr>
        <w:t>万元，公务接待费</w:t>
      </w:r>
      <w:r>
        <w:rPr>
          <w:rFonts w:hint="eastAsia" w:ascii="楷体_GB2312" w:hAnsi="宋体" w:eastAsia="楷体_GB2312"/>
          <w:b/>
          <w:sz w:val="32"/>
          <w:szCs w:val="32"/>
        </w:rPr>
        <w:t>0</w:t>
      </w:r>
      <w:r>
        <w:rPr>
          <w:rFonts w:hint="eastAsia" w:ascii="仿宋_GB2312" w:hAnsi="宋体" w:eastAsia="仿宋_GB2312"/>
          <w:sz w:val="32"/>
          <w:szCs w:val="32"/>
        </w:rPr>
        <w:t>万元，公务用车购置及运行维护费</w:t>
      </w:r>
      <w:r>
        <w:rPr>
          <w:rFonts w:hint="eastAsia" w:ascii="楷体_GB2312" w:hAnsi="宋体" w:eastAsia="楷体_GB2312"/>
          <w:b/>
          <w:sz w:val="32"/>
          <w:szCs w:val="32"/>
        </w:rPr>
        <w:t>0</w:t>
      </w:r>
      <w:r>
        <w:rPr>
          <w:rFonts w:hint="eastAsia" w:ascii="仿宋_GB2312" w:hAnsi="宋体" w:eastAsia="仿宋_GB2312"/>
          <w:sz w:val="32"/>
          <w:szCs w:val="32"/>
        </w:rPr>
        <w:t>万元。</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1.因公出国（境）费0万元，占“三公”经费支出的0%。完成年初预算的100%。2021年参加出国（境）团组0个，累计0人次。2021年因公出国（境）费与上年比无变化。</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2.公务接待费</w:t>
      </w:r>
      <w:r>
        <w:rPr>
          <w:rFonts w:hint="eastAsia" w:ascii="楷体_GB2312" w:hAnsi="宋体" w:eastAsia="楷体_GB2312"/>
          <w:b/>
          <w:sz w:val="32"/>
          <w:szCs w:val="32"/>
        </w:rPr>
        <w:t>0</w:t>
      </w:r>
      <w:r>
        <w:rPr>
          <w:rFonts w:hint="eastAsia" w:ascii="仿宋_GB2312" w:hAnsi="宋体" w:eastAsia="仿宋_GB2312"/>
          <w:sz w:val="32"/>
          <w:szCs w:val="32"/>
        </w:rPr>
        <w:t>万元，占“三公”经费支出的0%。完成年初预算的100%。2021年国内公务接待累计0批次、0人、0万元；其中外事接待累计0批次、0人、0万元。2021年公务接待费与上年比无变化。</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3.公务用车购置及</w:t>
      </w:r>
      <w:r>
        <w:rPr>
          <w:rFonts w:ascii="仿宋_GB2312" w:hAnsi="宋体" w:eastAsia="仿宋_GB2312"/>
          <w:sz w:val="32"/>
          <w:szCs w:val="32"/>
        </w:rPr>
        <w:t>运行费</w:t>
      </w:r>
      <w:r>
        <w:rPr>
          <w:rFonts w:hint="eastAsia" w:ascii="楷体_GB2312" w:hAnsi="宋体" w:eastAsia="楷体_GB2312"/>
          <w:b/>
          <w:sz w:val="32"/>
          <w:szCs w:val="32"/>
        </w:rPr>
        <w:t>0</w:t>
      </w:r>
      <w:r>
        <w:rPr>
          <w:rFonts w:hint="eastAsia" w:ascii="仿宋_GB2312" w:hAnsi="宋体" w:eastAsia="仿宋_GB2312"/>
          <w:sz w:val="32"/>
          <w:szCs w:val="32"/>
        </w:rPr>
        <w:t>万元，占“三公”经费支出的0%。完成年初预算的100%。2021年公务用车购置及</w:t>
      </w:r>
      <w:r>
        <w:rPr>
          <w:rFonts w:ascii="仿宋_GB2312" w:hAnsi="宋体" w:eastAsia="仿宋_GB2312"/>
          <w:sz w:val="32"/>
          <w:szCs w:val="32"/>
        </w:rPr>
        <w:t>运行费</w:t>
      </w:r>
      <w:r>
        <w:rPr>
          <w:rFonts w:hint="eastAsia" w:ascii="仿宋_GB2312" w:hAnsi="宋体" w:eastAsia="仿宋_GB2312"/>
          <w:sz w:val="32"/>
          <w:szCs w:val="32"/>
        </w:rPr>
        <w:t>与上年比无变化。</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rPr>
        <w:t>其中：公务用车购置费0万元，当年购置公务用车0辆。公务用车运行维护费0万元，截至年末使用</w:t>
      </w:r>
      <w:r>
        <w:rPr>
          <w:rFonts w:ascii="仿宋_GB2312" w:hAnsi="宋体" w:eastAsia="仿宋_GB2312"/>
          <w:sz w:val="32"/>
          <w:szCs w:val="32"/>
        </w:rPr>
        <w:t>一般公共预算财政拨款开支</w:t>
      </w:r>
      <w:r>
        <w:rPr>
          <w:rFonts w:hint="eastAsia" w:ascii="仿宋_GB2312" w:hAnsi="宋体" w:eastAsia="仿宋_GB2312"/>
          <w:sz w:val="32"/>
          <w:szCs w:val="32"/>
        </w:rPr>
        <w:t>运行维护费</w:t>
      </w:r>
      <w:r>
        <w:rPr>
          <w:rFonts w:ascii="仿宋_GB2312" w:hAnsi="宋体" w:eastAsia="仿宋_GB2312"/>
          <w:sz w:val="32"/>
          <w:szCs w:val="32"/>
        </w:rPr>
        <w:t>的</w:t>
      </w:r>
      <w:r>
        <w:rPr>
          <w:rFonts w:hint="eastAsia" w:ascii="仿宋_GB2312" w:hAnsi="宋体" w:eastAsia="仿宋_GB2312"/>
          <w:sz w:val="32"/>
          <w:szCs w:val="32"/>
        </w:rPr>
        <w:t>公务用车保有量0辆。</w:t>
      </w:r>
    </w:p>
    <w:p>
      <w:pPr>
        <w:spacing w:line="540" w:lineRule="exact"/>
        <w:ind w:firstLine="645"/>
        <w:rPr>
          <w:rFonts w:hint="eastAsia" w:ascii="黑体" w:hAnsi="黑体" w:eastAsia="黑体"/>
          <w:sz w:val="32"/>
          <w:szCs w:val="32"/>
        </w:rPr>
      </w:pPr>
      <w:r>
        <w:rPr>
          <w:rFonts w:hint="eastAsia" w:ascii="黑体" w:hAnsi="黑体" w:eastAsia="黑体"/>
          <w:sz w:val="32"/>
          <w:szCs w:val="32"/>
        </w:rPr>
        <w:t>四、一般公共预算财政拨款基本支出决算情况说明</w:t>
      </w:r>
    </w:p>
    <w:p>
      <w:pPr>
        <w:spacing w:line="540" w:lineRule="exact"/>
        <w:ind w:firstLine="645"/>
        <w:rPr>
          <w:rFonts w:hint="eastAsia" w:ascii="仿宋_GB2312" w:hAnsi="宋体" w:eastAsia="仿宋_GB2312"/>
          <w:sz w:val="32"/>
          <w:szCs w:val="32"/>
        </w:rPr>
      </w:pPr>
      <w:r>
        <w:rPr>
          <w:rFonts w:hint="eastAsia" w:ascii="仿宋_GB2312" w:hAnsi="宋体" w:eastAsia="仿宋_GB2312"/>
          <w:sz w:val="32"/>
          <w:szCs w:val="32"/>
          <w:lang w:eastAsia="zh-CN"/>
        </w:rPr>
        <w:t>2021</w:t>
      </w:r>
      <w:r>
        <w:rPr>
          <w:rFonts w:hint="eastAsia" w:ascii="仿宋_GB2312" w:hAnsi="宋体" w:eastAsia="仿宋_GB2312"/>
          <w:sz w:val="32"/>
          <w:szCs w:val="32"/>
        </w:rPr>
        <w:t>年度一般公共预算财政拨款基本支出</w:t>
      </w:r>
      <w:r>
        <w:rPr>
          <w:rFonts w:hint="eastAsia" w:ascii="楷体_GB2312" w:hAnsi="宋体" w:eastAsia="楷体_GB2312"/>
          <w:b/>
          <w:sz w:val="32"/>
          <w:szCs w:val="32"/>
          <w:lang w:val="en-US" w:eastAsia="zh-CN"/>
        </w:rPr>
        <w:t>12</w:t>
      </w:r>
      <w:r>
        <w:rPr>
          <w:rFonts w:hint="eastAsia" w:ascii="仿宋_GB2312" w:hAnsi="宋体" w:eastAsia="仿宋_GB2312"/>
          <w:sz w:val="32"/>
          <w:szCs w:val="32"/>
        </w:rPr>
        <w:t>万元，其中：人员经费</w:t>
      </w:r>
      <w:r>
        <w:rPr>
          <w:rFonts w:hint="eastAsia" w:ascii="楷体_GB2312" w:hAnsi="宋体" w:eastAsia="楷体_GB2312"/>
          <w:b/>
          <w:sz w:val="32"/>
          <w:szCs w:val="32"/>
          <w:lang w:val="en-US" w:eastAsia="zh-CN"/>
        </w:rPr>
        <w:t>12</w:t>
      </w:r>
      <w:r>
        <w:rPr>
          <w:rFonts w:hint="eastAsia" w:ascii="仿宋_GB2312" w:hAnsi="宋体" w:eastAsia="仿宋_GB2312"/>
          <w:sz w:val="32"/>
          <w:szCs w:val="32"/>
        </w:rPr>
        <w:t>万元，主要包括基本工资</w:t>
      </w:r>
      <w:r>
        <w:rPr>
          <w:rFonts w:hint="eastAsia" w:ascii="仿宋_GB2312" w:hAnsi="宋体" w:eastAsia="仿宋_GB2312"/>
          <w:sz w:val="32"/>
          <w:szCs w:val="32"/>
          <w:lang w:val="en-US" w:eastAsia="zh-CN"/>
        </w:rPr>
        <w:t>12</w:t>
      </w:r>
      <w:r>
        <w:rPr>
          <w:rFonts w:hint="eastAsia" w:ascii="仿宋_GB2312" w:hAnsi="宋体" w:eastAsia="仿宋_GB2312"/>
          <w:sz w:val="32"/>
          <w:szCs w:val="32"/>
        </w:rPr>
        <w:t>万元。</w:t>
      </w:r>
    </w:p>
    <w:p>
      <w:pPr>
        <w:spacing w:line="540" w:lineRule="exact"/>
        <w:ind w:firstLine="640" w:firstLineChars="200"/>
        <w:rPr>
          <w:rFonts w:hint="eastAsia" w:ascii="黑体" w:hAnsi="黑体" w:eastAsia="黑体"/>
          <w:sz w:val="32"/>
          <w:szCs w:val="32"/>
        </w:rPr>
      </w:pPr>
      <w:r>
        <w:rPr>
          <w:rFonts w:hint="eastAsia" w:ascii="黑体" w:hAnsi="黑体" w:eastAsia="黑体"/>
          <w:sz w:val="32"/>
          <w:szCs w:val="32"/>
        </w:rPr>
        <w:t>五、其他重要事项的情况说明</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（一）机关运行经费支出情况。</w:t>
      </w:r>
    </w:p>
    <w:p>
      <w:pPr>
        <w:spacing w:line="540" w:lineRule="exact"/>
        <w:ind w:firstLine="66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2021</w:t>
      </w:r>
      <w:r>
        <w:rPr>
          <w:rFonts w:hint="eastAsia" w:ascii="仿宋_GB2312" w:hAnsi="黑体" w:eastAsia="仿宋_GB2312"/>
          <w:sz w:val="32"/>
          <w:szCs w:val="32"/>
        </w:rPr>
        <w:t>年机关运行经费支出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宋体" w:eastAsia="仿宋_GB2312"/>
          <w:sz w:val="32"/>
          <w:szCs w:val="32"/>
          <w:lang w:val="en-US" w:eastAsia="zh-CN"/>
        </w:rPr>
        <w:t>与年初预算数、上年数保持一致。</w:t>
      </w:r>
      <w:bookmarkStart w:id="0" w:name="_GoBack"/>
      <w:bookmarkEnd w:id="0"/>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（二）政府采购支出情况。</w:t>
      </w:r>
    </w:p>
    <w:p>
      <w:pPr>
        <w:spacing w:line="54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2021</w:t>
      </w:r>
      <w:r>
        <w:rPr>
          <w:rFonts w:hint="eastAsia" w:ascii="仿宋_GB2312" w:hAnsi="黑体" w:eastAsia="仿宋_GB2312"/>
          <w:sz w:val="32"/>
          <w:szCs w:val="32"/>
        </w:rPr>
        <w:t>年政府采购支出总额</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万元，其中：政府采购货物支出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万元，政府采购服务支出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r>
        <w:rPr>
          <w:rFonts w:hint="eastAsia" w:ascii="仿宋_GB2312" w:eastAsia="仿宋_GB2312"/>
          <w:sz w:val="32"/>
          <w:szCs w:val="32"/>
        </w:rPr>
        <w:t>授予中小企业合同金额</w:t>
      </w:r>
      <w:r>
        <w:rPr>
          <w:rFonts w:hint="eastAsia" w:ascii="仿宋_GB2312" w:hAnsi="黑体"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hAnsi="黑体" w:eastAsia="仿宋_GB2312"/>
          <w:sz w:val="32"/>
          <w:szCs w:val="32"/>
          <w:lang w:val="en-US" w:eastAsia="zh-CN"/>
        </w:rPr>
        <w:t>0</w:t>
      </w:r>
      <w:r>
        <w:rPr>
          <w:rFonts w:hint="eastAsia" w:ascii="仿宋_GB2312" w:eastAsia="仿宋_GB2312"/>
          <w:sz w:val="32"/>
          <w:szCs w:val="32"/>
        </w:rPr>
        <w:t>%，其中：授予小微企业合同金额</w:t>
      </w:r>
      <w:r>
        <w:rPr>
          <w:rFonts w:hint="eastAsia" w:ascii="仿宋_GB2312" w:hAnsi="黑体" w:eastAsia="仿宋_GB2312"/>
          <w:sz w:val="32"/>
          <w:szCs w:val="32"/>
          <w:lang w:val="en-US" w:eastAsia="zh-CN"/>
        </w:rPr>
        <w:t>0</w:t>
      </w:r>
      <w:r>
        <w:rPr>
          <w:rFonts w:hint="eastAsia" w:ascii="仿宋_GB2312" w:eastAsia="仿宋_GB2312"/>
          <w:sz w:val="32"/>
          <w:szCs w:val="32"/>
        </w:rPr>
        <w:t>万元，占政府采购支出总额的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；货物采购授予中小企业合同金额占货物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；工程采购授予中小企业合同金额占货物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；服务采购授予中小企业合同金额占货物</w:t>
      </w:r>
      <w:r>
        <w:rPr>
          <w:rFonts w:hint="eastAsia" w:ascii="仿宋_GB2312" w:eastAsia="仿宋_GB2312"/>
          <w:sz w:val="32"/>
          <w:szCs w:val="32"/>
        </w:rPr>
        <w:t>支出</w:t>
      </w:r>
      <w:r>
        <w:rPr>
          <w:rFonts w:hint="eastAsia" w:ascii="仿宋_GB2312" w:eastAsia="仿宋_GB2312"/>
          <w:sz w:val="32"/>
          <w:szCs w:val="32"/>
          <w:lang w:eastAsia="zh-CN"/>
        </w:rPr>
        <w:t>金额的</w:t>
      </w:r>
      <w:r>
        <w:rPr>
          <w:rFonts w:hint="eastAsia" w:ascii="仿宋_GB2312" w:hAnsi="黑体" w:eastAsia="仿宋_GB2312"/>
          <w:sz w:val="32"/>
          <w:szCs w:val="32"/>
          <w:lang w:val="en-US" w:eastAsia="zh-CN"/>
        </w:rPr>
        <w:t>0</w:t>
      </w:r>
      <w:r>
        <w:rPr>
          <w:rFonts w:hint="eastAsia" w:ascii="仿宋_GB2312" w:eastAsia="仿宋_GB2312"/>
          <w:sz w:val="32"/>
          <w:szCs w:val="32"/>
        </w:rPr>
        <w:t>%</w:t>
      </w:r>
      <w:r>
        <w:rPr>
          <w:rFonts w:hint="eastAsia" w:ascii="仿宋_GB2312" w:eastAsia="仿宋_GB2312"/>
          <w:sz w:val="32"/>
          <w:szCs w:val="32"/>
          <w:lang w:eastAsia="zh-CN"/>
        </w:rPr>
        <w:t>。</w:t>
      </w:r>
    </w:p>
    <w:p>
      <w:pPr>
        <w:spacing w:line="540" w:lineRule="exact"/>
        <w:ind w:firstLine="643" w:firstLineChars="200"/>
        <w:rPr>
          <w:rFonts w:hint="eastAsia" w:ascii="楷体_GB2312" w:hAnsi="黑体" w:eastAsia="楷体_GB2312"/>
          <w:b/>
          <w:sz w:val="32"/>
          <w:szCs w:val="32"/>
        </w:rPr>
      </w:pPr>
      <w:r>
        <w:rPr>
          <w:rFonts w:hint="eastAsia" w:ascii="楷体_GB2312" w:hAnsi="黑体" w:eastAsia="楷体_GB2312"/>
          <w:b/>
          <w:sz w:val="32"/>
          <w:szCs w:val="32"/>
        </w:rPr>
        <w:t>（三）国有资产占用情况。</w:t>
      </w:r>
    </w:p>
    <w:p>
      <w:pPr>
        <w:spacing w:line="540" w:lineRule="exact"/>
        <w:ind w:firstLine="640" w:firstLineChars="200"/>
        <w:rPr>
          <w:rFonts w:hint="eastAsia"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2021</w:t>
      </w:r>
      <w:r>
        <w:rPr>
          <w:rFonts w:hint="eastAsia" w:ascii="仿宋_GB2312" w:hAnsi="黑体" w:eastAsia="仿宋_GB2312"/>
          <w:sz w:val="32"/>
          <w:szCs w:val="32"/>
        </w:rPr>
        <w:t>年12月31日，共有车辆</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辆，其中：副省级以上领导干部用车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辆，主要</w:t>
      </w:r>
      <w:r>
        <w:rPr>
          <w:rFonts w:ascii="仿宋_GB2312" w:hAnsi="黑体" w:eastAsia="仿宋_GB2312"/>
          <w:sz w:val="32"/>
          <w:szCs w:val="32"/>
        </w:rPr>
        <w:t>领导干部</w:t>
      </w:r>
      <w:r>
        <w:rPr>
          <w:rFonts w:hint="eastAsia" w:ascii="仿宋_GB2312" w:hAnsi="黑体" w:eastAsia="仿宋_GB2312"/>
          <w:sz w:val="32"/>
          <w:szCs w:val="32"/>
        </w:rPr>
        <w:t>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辆，机要通讯用车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辆，应急</w:t>
      </w:r>
      <w:r>
        <w:rPr>
          <w:rFonts w:ascii="仿宋_GB2312" w:hAnsi="黑体" w:eastAsia="仿宋_GB2312"/>
          <w:sz w:val="32"/>
          <w:szCs w:val="32"/>
        </w:rPr>
        <w:t>保障用车</w:t>
      </w:r>
      <w:r>
        <w:rPr>
          <w:rFonts w:hint="eastAsia" w:ascii="仿宋_GB2312" w:hAnsi="黑体" w:eastAsia="仿宋_GB2312"/>
          <w:sz w:val="32"/>
          <w:szCs w:val="32"/>
          <w:lang w:val="en-US" w:eastAsia="zh-CN"/>
        </w:rPr>
        <w:t>0</w:t>
      </w:r>
      <w:r>
        <w:rPr>
          <w:rFonts w:ascii="仿宋_GB2312" w:hAnsi="黑体" w:eastAsia="仿宋_GB2312"/>
          <w:sz w:val="32"/>
          <w:szCs w:val="32"/>
        </w:rPr>
        <w:t>辆，</w:t>
      </w:r>
      <w:r>
        <w:rPr>
          <w:rFonts w:hint="eastAsia" w:ascii="仿宋_GB2312" w:hAnsi="黑体" w:eastAsia="仿宋_GB2312"/>
          <w:sz w:val="32"/>
          <w:szCs w:val="32"/>
        </w:rPr>
        <w:t>执法执勤</w:t>
      </w:r>
      <w:r>
        <w:rPr>
          <w:rFonts w:ascii="仿宋_GB2312" w:hAnsi="黑体" w:eastAsia="仿宋_GB2312"/>
          <w:sz w:val="32"/>
          <w:szCs w:val="32"/>
        </w:rPr>
        <w:t>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辆，离退休</w:t>
      </w:r>
      <w:r>
        <w:rPr>
          <w:rFonts w:ascii="仿宋_GB2312" w:hAnsi="黑体" w:eastAsia="仿宋_GB2312"/>
          <w:sz w:val="32"/>
          <w:szCs w:val="32"/>
        </w:rPr>
        <w:t>干部用车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r>
        <w:rPr>
          <w:rFonts w:ascii="仿宋_GB2312" w:hAnsi="黑体" w:eastAsia="仿宋_GB2312"/>
          <w:sz w:val="32"/>
          <w:szCs w:val="32"/>
        </w:rPr>
        <w:t>，</w:t>
      </w:r>
      <w:r>
        <w:rPr>
          <w:rFonts w:hint="eastAsia" w:ascii="仿宋_GB2312" w:hAnsi="黑体" w:eastAsia="仿宋_GB2312"/>
          <w:sz w:val="32"/>
          <w:szCs w:val="32"/>
        </w:rPr>
        <w:t>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辆；单位价值50万元以上通用设备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台（套），单价100万元以上专用设备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p/>
    <w:p>
      <w:pPr>
        <w:keepNext w:val="0"/>
        <w:keepLines w:val="0"/>
        <w:widowControl/>
        <w:numPr>
          <w:ilvl w:val="0"/>
          <w:numId w:val="2"/>
        </w:numPr>
        <w:suppressLineNumbers w:val="0"/>
        <w:spacing w:before="0" w:beforeAutospacing="0" w:after="0" w:afterAutospacing="0" w:line="540" w:lineRule="exact"/>
        <w:ind w:left="0" w:right="0" w:firstLine="643" w:firstLineChars="200"/>
        <w:jc w:val="left"/>
        <w:rPr>
          <w:rFonts w:ascii="楷体_GB2312" w:hAnsi="宋体" w:eastAsia="楷体_GB2312" w:cs="楷体_GB2312"/>
          <w:b/>
          <w:color w:val="auto"/>
          <w:kern w:val="2"/>
          <w:sz w:val="32"/>
          <w:szCs w:val="32"/>
          <w:highlight w:val="none"/>
          <w:shd w:val="clear" w:color="auto" w:fill="auto"/>
          <w:lang w:val="en-US" w:eastAsia="zh-CN" w:bidi="ar"/>
        </w:rPr>
      </w:pPr>
      <w:r>
        <w:rPr>
          <w:rFonts w:ascii="楷体_GB2312" w:hAnsi="宋体" w:eastAsia="楷体_GB2312" w:cs="楷体_GB2312"/>
          <w:b/>
          <w:color w:val="auto"/>
          <w:kern w:val="2"/>
          <w:sz w:val="32"/>
          <w:szCs w:val="32"/>
          <w:highlight w:val="none"/>
          <w:shd w:val="clear" w:color="auto" w:fill="auto"/>
          <w:lang w:val="en-US" w:eastAsia="zh-CN" w:bidi="ar"/>
        </w:rPr>
        <w:t>预算绩效情况。</w:t>
      </w:r>
    </w:p>
    <w:p>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二级预算单位，绩效考评并入卫健局</w:t>
      </w:r>
    </w:p>
    <w:p/>
    <w:p/>
    <w:p/>
    <w:p/>
    <w:p/>
    <w:p/>
    <w:p/>
    <w:p/>
    <w:p/>
    <w:p/>
    <w:p/>
    <w:p/>
    <w:p/>
    <w:p/>
    <w:p/>
    <w:p/>
    <w:p/>
    <w:p/>
    <w:p/>
    <w:p/>
    <w:p/>
    <w:p/>
    <w:p/>
    <w:p/>
    <w:p/>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hint="eastAsia" w:ascii="宋体" w:hAnsi="宋体"/>
          <w:b/>
          <w:sz w:val="36"/>
          <w:szCs w:val="36"/>
        </w:rPr>
      </w:pP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right="0"/>
        <w:jc w:val="center"/>
        <w:textAlignment w:val="auto"/>
        <w:rPr>
          <w:rFonts w:ascii="宋体" w:hAnsi="宋体"/>
          <w:b/>
          <w:sz w:val="36"/>
          <w:szCs w:val="36"/>
        </w:rPr>
      </w:pPr>
      <w:r>
        <w:rPr>
          <w:rFonts w:hint="eastAsia" w:ascii="宋体" w:hAnsi="宋体"/>
          <w:b/>
          <w:sz w:val="36"/>
          <w:szCs w:val="36"/>
        </w:rPr>
        <w:t>第三部分 名词解释</w:t>
      </w:r>
    </w:p>
    <w:p>
      <w:pPr>
        <w:spacing w:line="540" w:lineRule="exact"/>
        <w:jc w:val="center"/>
        <w:rPr>
          <w:rFonts w:ascii="宋体" w:hAnsi="宋体"/>
          <w:b/>
          <w:sz w:val="36"/>
          <w:szCs w:val="36"/>
        </w:rPr>
      </w:pP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指单位从同级财政部门取得的财政预算资金。</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2.上级补助收入：</w:t>
      </w:r>
      <w:r>
        <w:rPr>
          <w:rFonts w:hint="eastAsia" w:ascii="仿宋_GB2312" w:eastAsia="仿宋_GB2312"/>
          <w:sz w:val="32"/>
          <w:szCs w:val="32"/>
        </w:rPr>
        <w:t>指单位从主管部门和上级单位取得的非财政性补助收入。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3.事业收入：</w:t>
      </w:r>
      <w:r>
        <w:rPr>
          <w:rFonts w:hint="eastAsia" w:ascii="仿宋_GB2312" w:eastAsia="仿宋_GB2312"/>
          <w:sz w:val="32"/>
          <w:szCs w:val="32"/>
        </w:rPr>
        <w:t>指事业单位开展专业业务活动及辅助活动所取得的收入。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4.经营收入：</w:t>
      </w:r>
      <w:r>
        <w:rPr>
          <w:rFonts w:hint="eastAsia" w:ascii="仿宋_GB2312" w:eastAsia="仿宋_GB2312"/>
          <w:sz w:val="32"/>
          <w:szCs w:val="32"/>
        </w:rPr>
        <w:t>指事业单位在专业业务活动及辅助活动之外开展非独立核算经营活动取得的收入。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5.附属单位上缴收入：</w:t>
      </w:r>
      <w:r>
        <w:rPr>
          <w:rFonts w:hint="eastAsia" w:ascii="仿宋_GB2312" w:eastAsia="仿宋_GB2312"/>
          <w:sz w:val="32"/>
          <w:szCs w:val="32"/>
        </w:rPr>
        <w:t>指单位附属的独立核算单位按照规定上缴的收入。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6.其他收入：</w:t>
      </w:r>
      <w:r>
        <w:rPr>
          <w:rFonts w:hint="eastAsia" w:ascii="仿宋_GB2312" w:eastAsia="仿宋_GB2312"/>
          <w:sz w:val="32"/>
          <w:szCs w:val="32"/>
        </w:rPr>
        <w:t>指除上述“财政拨款收入”、</w:t>
      </w:r>
      <w:r>
        <w:rPr>
          <w:rFonts w:hint="eastAsia" w:ascii="仿宋_GB2312" w:eastAsia="仿宋_GB2312"/>
          <w:b/>
          <w:sz w:val="32"/>
          <w:szCs w:val="32"/>
        </w:rPr>
        <w:t xml:space="preserve"> </w:t>
      </w:r>
      <w:r>
        <w:rPr>
          <w:rFonts w:hint="eastAsia" w:ascii="仿宋_GB2312" w:eastAsia="仿宋_GB2312"/>
          <w:sz w:val="32"/>
          <w:szCs w:val="32"/>
        </w:rPr>
        <w:t>“上级补助收入”、“事业收入”、“经营收入”、“附属单位上缴收入”等以外的收入。</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7.</w:t>
      </w:r>
      <w:r>
        <w:rPr>
          <w:rFonts w:hint="eastAsia" w:ascii="仿宋_GB2312" w:eastAsia="仿宋_GB2312"/>
          <w:b/>
          <w:sz w:val="32"/>
          <w:szCs w:val="32"/>
          <w:lang w:val="en-US" w:eastAsia="zh-CN"/>
        </w:rPr>
        <w:t>使用非财政拨款结余</w:t>
      </w:r>
      <w:r>
        <w:rPr>
          <w:rFonts w:hint="eastAsia" w:ascii="仿宋_GB2312" w:eastAsia="仿宋_GB2312"/>
          <w:b/>
          <w:sz w:val="32"/>
          <w:szCs w:val="32"/>
        </w:rPr>
        <w:t>：</w:t>
      </w:r>
      <w:r>
        <w:rPr>
          <w:rFonts w:hint="eastAsia" w:ascii="仿宋_GB2312" w:eastAsia="仿宋_GB2312"/>
          <w:sz w:val="32"/>
          <w:szCs w:val="32"/>
        </w:rPr>
        <w:t>指事业单位</w:t>
      </w:r>
      <w:r>
        <w:rPr>
          <w:rFonts w:hint="eastAsia" w:ascii="仿宋_GB2312" w:eastAsia="仿宋_GB2312"/>
          <w:sz w:val="32"/>
          <w:szCs w:val="32"/>
          <w:lang w:val="en-US" w:eastAsia="zh-CN"/>
        </w:rPr>
        <w:t>按照预算管理要求使用非财政拨款结余弥补收支差额的金额</w:t>
      </w:r>
      <w:r>
        <w:rPr>
          <w:rFonts w:hint="eastAsia" w:ascii="仿宋_GB2312" w:eastAsia="仿宋_GB2312"/>
          <w:sz w:val="32"/>
          <w:szCs w:val="32"/>
        </w:rPr>
        <w:t>。</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8.上年结转和结余：</w:t>
      </w:r>
      <w:r>
        <w:rPr>
          <w:rFonts w:hint="eastAsia" w:ascii="仿宋_GB2312" w:eastAsia="仿宋_GB2312"/>
          <w:sz w:val="32"/>
          <w:szCs w:val="32"/>
        </w:rPr>
        <w:t>指以前年度尚未完成、结转到本年按有关规定继续使用的资金。</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9.基本支出：</w:t>
      </w:r>
      <w:r>
        <w:rPr>
          <w:rFonts w:hint="eastAsia" w:ascii="仿宋_GB2312" w:eastAsia="仿宋_GB2312"/>
          <w:sz w:val="32"/>
          <w:szCs w:val="32"/>
        </w:rPr>
        <w:t>指保障机构正常运转、完成日常工作任务而发生的人员支出和公用支出。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10.项目支出：</w:t>
      </w:r>
      <w:r>
        <w:rPr>
          <w:rFonts w:hint="eastAsia" w:ascii="仿宋_GB2312" w:eastAsia="仿宋_GB2312"/>
          <w:sz w:val="32"/>
          <w:szCs w:val="32"/>
        </w:rPr>
        <w:t>指在基本支出之外为完成特定行政任务和事业发展目标所发生的支出。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11.上缴上级支出：</w:t>
      </w:r>
      <w:r>
        <w:rPr>
          <w:rFonts w:hint="eastAsia" w:ascii="仿宋_GB2312" w:eastAsia="仿宋_GB2312"/>
          <w:sz w:val="32"/>
          <w:szCs w:val="32"/>
        </w:rPr>
        <w:t>指事业单位按照财政部门和主管部门的规定上缴上级单位的支出。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12.经营支出：</w:t>
      </w:r>
      <w:r>
        <w:rPr>
          <w:rFonts w:hint="eastAsia" w:ascii="仿宋_GB2312" w:eastAsia="仿宋_GB2312"/>
          <w:sz w:val="32"/>
          <w:szCs w:val="32"/>
        </w:rPr>
        <w:t>指事业单位在专业活动及辅助活动之外开展非独立核算经营活动发生的支出。</w:t>
      </w:r>
    </w:p>
    <w:p>
      <w:pPr>
        <w:spacing w:line="540" w:lineRule="exact"/>
        <w:ind w:firstLine="643" w:firstLineChars="200"/>
        <w:rPr>
          <w:rFonts w:hint="eastAsia" w:ascii="仿宋_GB2312" w:eastAsia="仿宋_GB2312"/>
          <w:b/>
          <w:sz w:val="32"/>
          <w:szCs w:val="32"/>
        </w:rPr>
      </w:pPr>
      <w:r>
        <w:rPr>
          <w:rFonts w:hint="eastAsia" w:ascii="仿宋_GB2312" w:eastAsia="仿宋_GB2312"/>
          <w:b/>
          <w:sz w:val="32"/>
          <w:szCs w:val="32"/>
        </w:rPr>
        <w:t>13.对附属单位补助支出：</w:t>
      </w:r>
      <w:r>
        <w:rPr>
          <w:rFonts w:hint="eastAsia" w:ascii="仿宋_GB2312" w:eastAsia="仿宋_GB2312"/>
          <w:sz w:val="32"/>
          <w:szCs w:val="32"/>
        </w:rPr>
        <w:t>指事业单位用财政补助收入之外的收入对附属单位补助发生的支出。</w:t>
      </w:r>
    </w:p>
    <w:p>
      <w:pPr>
        <w:spacing w:line="540" w:lineRule="exact"/>
        <w:ind w:firstLine="643" w:firstLineChars="200"/>
        <w:rPr>
          <w:rFonts w:hint="eastAsia" w:ascii="仿宋_GB2312" w:eastAsia="仿宋_GB2312"/>
          <w:sz w:val="32"/>
          <w:szCs w:val="32"/>
        </w:rPr>
      </w:pPr>
      <w:r>
        <w:rPr>
          <w:rFonts w:hint="eastAsia" w:ascii="仿宋_GB2312" w:eastAsia="仿宋_GB2312"/>
          <w:b/>
          <w:sz w:val="32"/>
          <w:szCs w:val="32"/>
        </w:rPr>
        <w:t>14.“三公”经费：</w:t>
      </w:r>
      <w:r>
        <w:rPr>
          <w:rFonts w:hint="eastAsia" w:ascii="仿宋_GB2312" w:eastAsia="仿宋_GB2312"/>
          <w:sz w:val="32"/>
          <w:szCs w:val="32"/>
        </w:rPr>
        <w:t>指用</w:t>
      </w:r>
      <w:r>
        <w:rPr>
          <w:rFonts w:hint="eastAsia" w:ascii="仿宋_GB2312" w:eastAsia="仿宋_GB2312"/>
          <w:sz w:val="32"/>
          <w:szCs w:val="32"/>
          <w:lang w:val="en-US" w:eastAsia="zh-CN"/>
        </w:rPr>
        <w:t>一般公共预算</w:t>
      </w:r>
      <w:r>
        <w:rPr>
          <w:rFonts w:hint="eastAsia" w:ascii="仿宋_GB2312" w:eastAsia="仿宋_GB2312"/>
          <w:sz w:val="32"/>
          <w:szCs w:val="32"/>
        </w:rPr>
        <w:t>财政拨款安排的因公出国（境）费、公务用车购置及运行费和公务接待费。其中，因公出国（境）费反映单位公务出国（境）的住宿费、旅费、伙食补助费、杂费、培训费等支出；公务用车购置及运行费反映单位公务用车购置费及燃料费、维修费、过路过桥费、保险费、安全奖励费用等支出；公务接待费反映单位按规定开支的各类公务接待（含外宾接待）支出。</w:t>
      </w:r>
    </w:p>
    <w:p>
      <w:pPr>
        <w:spacing w:line="540" w:lineRule="exact"/>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15.机关运行经费：</w:t>
      </w:r>
      <w:r>
        <w:rPr>
          <w:rFonts w:hint="eastAsia" w:ascii="仿宋_GB2312" w:eastAsia="仿宋_GB2312"/>
          <w:sz w:val="32"/>
          <w:szCs w:val="32"/>
          <w:lang w:val="en-US" w:eastAsia="zh-CN"/>
        </w:rPr>
        <w:t>指为保障行政单位和参照公务员法管理的事业单位运行，使用一般公共预算财政拨款安排的基本支出中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40" w:lineRule="exact"/>
        <w:ind w:firstLine="643" w:firstLineChars="200"/>
        <w:rPr>
          <w:rFonts w:hint="eastAsia" w:ascii="仿宋_GB2312" w:eastAsia="仿宋_GB2312"/>
          <w:b/>
          <w:sz w:val="32"/>
          <w:szCs w:val="32"/>
        </w:rPr>
      </w:pPr>
      <w:r>
        <w:rPr>
          <w:rFonts w:hint="eastAsia" w:ascii="仿宋_GB2312" w:eastAsia="仿宋_GB2312"/>
          <w:b/>
          <w:sz w:val="32"/>
          <w:szCs w:val="32"/>
        </w:rPr>
        <w:t>1</w:t>
      </w:r>
      <w:r>
        <w:rPr>
          <w:rFonts w:hint="eastAsia" w:ascii="仿宋_GB2312" w:eastAsia="仿宋_GB2312"/>
          <w:b/>
          <w:sz w:val="32"/>
          <w:szCs w:val="32"/>
          <w:lang w:val="en-US" w:eastAsia="zh-CN"/>
        </w:rPr>
        <w:t>6</w:t>
      </w:r>
      <w:r>
        <w:rPr>
          <w:rFonts w:hint="eastAsia" w:ascii="仿宋_GB2312" w:eastAsia="仿宋_GB2312"/>
          <w:b/>
          <w:sz w:val="32"/>
          <w:szCs w:val="32"/>
        </w:rPr>
        <w:t>.一般公共服务（类）财政事务（款）行政运行（项）：</w:t>
      </w:r>
      <w:r>
        <w:rPr>
          <w:rFonts w:hint="eastAsia" w:ascii="仿宋_GB2312" w:eastAsia="仿宋_GB2312"/>
          <w:sz w:val="32"/>
          <w:szCs w:val="32"/>
        </w:rPr>
        <w:t>反映行政单位（包括实行公务员管理的事业单位）的基本支出。</w:t>
      </w:r>
    </w:p>
    <w:p>
      <w:pPr>
        <w:spacing w:line="540" w:lineRule="exact"/>
        <w:ind w:firstLine="640" w:firstLineChars="200"/>
        <w:rPr>
          <w:rFonts w:hint="eastAsia" w:ascii="仿宋_GB2312" w:eastAsia="仿宋_GB2312"/>
          <w:b/>
          <w:sz w:val="32"/>
          <w:szCs w:val="32"/>
        </w:rPr>
      </w:pPr>
      <w:r>
        <w:rPr>
          <w:rFonts w:hint="eastAsia" w:ascii="仿宋_GB2312" w:eastAsia="仿宋_GB2312"/>
          <w:i/>
          <w:sz w:val="32"/>
          <w:szCs w:val="32"/>
          <w:u w:val="single"/>
        </w:rPr>
        <w:t>（部门决算涉及的支出功能分类全部项级科目，逐一解释）……</w:t>
      </w:r>
    </w:p>
    <w:p>
      <w:pPr>
        <w:spacing w:line="540" w:lineRule="exact"/>
        <w:rPr>
          <w:sz w:val="32"/>
          <w:szCs w:val="32"/>
        </w:rPr>
        <w:sectPr>
          <w:footerReference r:id="rId3" w:type="default"/>
          <w:footerReference r:id="rId4" w:type="even"/>
          <w:pgSz w:w="11906" w:h="16838"/>
          <w:pgMar w:top="1701" w:right="1417" w:bottom="1701" w:left="1417" w:header="851" w:footer="992" w:gutter="0"/>
          <w:cols w:space="720" w:num="1"/>
          <w:docGrid w:type="lines" w:linePitch="312" w:charSpace="0"/>
        </w:sectPr>
      </w:pPr>
    </w:p>
    <w:p/>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宋体" w:hAnsi="宋体"/>
          <w:b/>
          <w:sz w:val="52"/>
          <w:szCs w:val="52"/>
        </w:rPr>
      </w:pPr>
    </w:p>
    <w:p>
      <w:pPr>
        <w:spacing w:line="540" w:lineRule="exact"/>
        <w:jc w:val="center"/>
        <w:rPr>
          <w:rFonts w:hint="eastAsia" w:ascii="仿宋_GB2312" w:eastAsia="仿宋_GB2312"/>
          <w:sz w:val="52"/>
          <w:szCs w:val="52"/>
        </w:rPr>
      </w:pPr>
      <w:r>
        <w:rPr>
          <w:rFonts w:hint="eastAsia" w:ascii="宋体" w:hAnsi="宋体"/>
          <w:b/>
          <w:sz w:val="52"/>
          <w:szCs w:val="52"/>
        </w:rPr>
        <w:t xml:space="preserve">第四部分 </w:t>
      </w:r>
      <w:r>
        <w:rPr>
          <w:rFonts w:hint="eastAsia" w:ascii="宋体" w:hAnsi="宋体"/>
          <w:b/>
          <w:sz w:val="52"/>
          <w:szCs w:val="52"/>
          <w:lang w:eastAsia="zh-CN"/>
        </w:rPr>
        <w:t>2021</w:t>
      </w:r>
      <w:r>
        <w:rPr>
          <w:rFonts w:hint="eastAsia" w:ascii="宋体" w:hAnsi="宋体"/>
          <w:b/>
          <w:sz w:val="52"/>
          <w:szCs w:val="52"/>
        </w:rPr>
        <w:t>年度部门决算表</w:t>
      </w:r>
    </w:p>
    <w:p/>
    <w:p/>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16"/>
        <w:gridCol w:w="491"/>
        <w:gridCol w:w="660"/>
        <w:gridCol w:w="2642"/>
        <w:gridCol w:w="491"/>
        <w:gridCol w:w="1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770"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28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8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55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8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1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770"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部门：辽宁省本溪市明山区高台子镇卫生院</w:t>
            </w:r>
          </w:p>
        </w:tc>
        <w:tc>
          <w:tcPr>
            <w:tcW w:w="28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8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55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8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1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2445"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收入</w:t>
            </w:r>
          </w:p>
        </w:tc>
        <w:tc>
          <w:tcPr>
            <w:tcW w:w="2554" w:type="pct"/>
            <w:gridSpan w:val="3"/>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38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w:t>
            </w: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71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288"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8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288"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71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一、一般公共预算财政拨款收入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8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一、一般公共服务支出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二、政府性基金预算财政拨款收入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二、外交支出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33</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三、国有资本经营预算财政拨款收入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三、国防支出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四、上级补助收入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四、公共安全支出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五、事业收入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38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387.29</w:t>
            </w: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五、教育支出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六、经营收入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六、科学技术支出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37</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七、附属单位上缴收入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七、文化旅游体育与传媒支出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八、其他收入</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八、社会保障和就业支出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九、卫生健康支出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71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十、节能环保支出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41</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十一、城乡社区支出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十二、农林水支出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十三、交通运输支出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44</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十四、资源勘探工业信息等支出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45</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十五、商业服务业等支出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十六、金融支出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17</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十七、援助其他地区支出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十八、自然资源海洋气象等支出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十九、住房保障支出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二十、粮油物资储备支出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二十一、国有资本经营预算支出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52</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二十二、灾害防治及应急管理支出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53</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二十三、其他支出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b/>
                <w:bCs/>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二十四、债务还本支出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55</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二十五、债务付息支出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56</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二十六、抗疫特别国债安排的支出</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57</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本年收入合计</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w:t>
            </w:r>
          </w:p>
        </w:tc>
        <w:tc>
          <w:tcPr>
            <w:tcW w:w="38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本年支出合计</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58</w:t>
            </w:r>
          </w:p>
        </w:tc>
        <w:tc>
          <w:tcPr>
            <w:tcW w:w="71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使用非财政拨款结余</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结余分配</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59</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年初结转和结余</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年末结转和结余</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w:t>
            </w:r>
          </w:p>
        </w:tc>
        <w:tc>
          <w:tcPr>
            <w:tcW w:w="7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38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550"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61</w:t>
            </w:r>
          </w:p>
        </w:tc>
        <w:tc>
          <w:tcPr>
            <w:tcW w:w="71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77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总计</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w:t>
            </w:r>
          </w:p>
        </w:tc>
        <w:tc>
          <w:tcPr>
            <w:tcW w:w="38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c>
          <w:tcPr>
            <w:tcW w:w="155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总计</w:t>
            </w:r>
          </w:p>
        </w:tc>
        <w:tc>
          <w:tcPr>
            <w:tcW w:w="28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62</w:t>
            </w:r>
          </w:p>
        </w:tc>
        <w:tc>
          <w:tcPr>
            <w:tcW w:w="71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r>
    </w:tbl>
    <w:p>
      <w:pPr>
        <w:jc w:val="center"/>
      </w:pPr>
    </w:p>
    <w:p>
      <w:pPr>
        <w:jc w:val="center"/>
      </w:pPr>
    </w:p>
    <w:p>
      <w:pPr>
        <w:jc w:val="center"/>
      </w:pPr>
    </w:p>
    <w:p>
      <w:pPr>
        <w:jc w:val="cente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86"/>
        <w:gridCol w:w="222"/>
        <w:gridCol w:w="222"/>
        <w:gridCol w:w="1386"/>
        <w:gridCol w:w="639"/>
        <w:gridCol w:w="567"/>
        <w:gridCol w:w="346"/>
        <w:gridCol w:w="636"/>
        <w:gridCol w:w="346"/>
        <w:gridCol w:w="346"/>
        <w:gridCol w:w="112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510"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2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9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5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1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1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1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13"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510"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部门：辽宁省本溪市明山区高台子镇卫生院</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2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9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5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1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1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1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13"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97"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94"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本年收入合计</w:t>
            </w:r>
          </w:p>
        </w:tc>
        <w:tc>
          <w:tcPr>
            <w:tcW w:w="35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财政拨款收入</w:t>
            </w:r>
          </w:p>
        </w:tc>
        <w:tc>
          <w:tcPr>
            <w:tcW w:w="215"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上级补助收入</w:t>
            </w:r>
          </w:p>
        </w:tc>
        <w:tc>
          <w:tcPr>
            <w:tcW w:w="395"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事业收入</w:t>
            </w:r>
          </w:p>
        </w:tc>
        <w:tc>
          <w:tcPr>
            <w:tcW w:w="21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经营收入</w:t>
            </w:r>
          </w:p>
        </w:tc>
        <w:tc>
          <w:tcPr>
            <w:tcW w:w="216"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附属单位上缴收入</w:t>
            </w:r>
          </w:p>
        </w:tc>
        <w:tc>
          <w:tcPr>
            <w:tcW w:w="613"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826"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94"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5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1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9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1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1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1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26"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94"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5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1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9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1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1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1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26"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94"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5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1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9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1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16"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13"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97"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94"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50"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215"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95"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21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216"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613"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597"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9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399.29</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12.00</w:t>
            </w:r>
          </w:p>
        </w:tc>
        <w:tc>
          <w:tcPr>
            <w:tcW w:w="2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387.29</w:t>
            </w: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8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9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2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387.29</w:t>
            </w: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8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9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2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387.29</w:t>
            </w: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826"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9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c>
          <w:tcPr>
            <w:tcW w:w="35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2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387.29</w:t>
            </w: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5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5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5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5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77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826"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9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5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9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21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jc w:val="center"/>
      </w:pPr>
    </w:p>
    <w:p>
      <w:pPr>
        <w:jc w:val="cente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68"/>
        <w:gridCol w:w="222"/>
        <w:gridCol w:w="222"/>
        <w:gridCol w:w="1558"/>
        <w:gridCol w:w="625"/>
        <w:gridCol w:w="625"/>
        <w:gridCol w:w="545"/>
        <w:gridCol w:w="346"/>
        <w:gridCol w:w="346"/>
        <w:gridCol w:w="11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88"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2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7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7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8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8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8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88"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部门：辽宁省本溪市明山区高台子镇卫生院</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24"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7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7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2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8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8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8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873"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372"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本年支出合计</w:t>
            </w:r>
          </w:p>
        </w:tc>
        <w:tc>
          <w:tcPr>
            <w:tcW w:w="372"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325"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c>
          <w:tcPr>
            <w:tcW w:w="185"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上缴上级支出</w:t>
            </w:r>
          </w:p>
        </w:tc>
        <w:tc>
          <w:tcPr>
            <w:tcW w:w="185"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经营支出</w:t>
            </w:r>
          </w:p>
        </w:tc>
        <w:tc>
          <w:tcPr>
            <w:tcW w:w="684"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49"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924"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37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7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8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8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84"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4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24"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7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7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8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8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84"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949"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24"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37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72"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2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8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85"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84"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873"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372"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372"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325"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185"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185"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684" w:type="pc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873"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3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399.29</w:t>
            </w:r>
          </w:p>
        </w:tc>
        <w:tc>
          <w:tcPr>
            <w:tcW w:w="3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363.18</w:t>
            </w: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36.12</w:t>
            </w: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68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1949"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92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3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c>
          <w:tcPr>
            <w:tcW w:w="3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363.18</w:t>
            </w: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36.12</w:t>
            </w: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8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1949"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92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3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c>
          <w:tcPr>
            <w:tcW w:w="3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363.18</w:t>
            </w: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36.12</w:t>
            </w: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8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49"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924"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3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399.29</w:t>
            </w:r>
          </w:p>
        </w:tc>
        <w:tc>
          <w:tcPr>
            <w:tcW w:w="372"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363.18</w:t>
            </w:r>
          </w:p>
        </w:tc>
        <w:tc>
          <w:tcPr>
            <w:tcW w:w="32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36.12</w:t>
            </w: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8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4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24"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8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4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24"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8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4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24"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8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4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24"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8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49"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24"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3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7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8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8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jc w:val="center"/>
      </w:pPr>
    </w:p>
    <w:p>
      <w:pPr>
        <w:jc w:val="cente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43"/>
        <w:gridCol w:w="344"/>
        <w:gridCol w:w="535"/>
        <w:gridCol w:w="2132"/>
        <w:gridCol w:w="344"/>
        <w:gridCol w:w="535"/>
        <w:gridCol w:w="535"/>
        <w:gridCol w:w="344"/>
        <w:gridCol w:w="11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财政拨款收入支出决算总表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333"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7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2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7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7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6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7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333"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部门：辽宁省本溪市明山区高台子镇卫生院</w:t>
            </w:r>
          </w:p>
        </w:tc>
        <w:tc>
          <w:tcPr>
            <w:tcW w:w="17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2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7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27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36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79"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927"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收     入</w:t>
            </w:r>
          </w:p>
        </w:tc>
        <w:tc>
          <w:tcPr>
            <w:tcW w:w="3072"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7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42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w:t>
            </w:r>
          </w:p>
        </w:tc>
        <w:tc>
          <w:tcPr>
            <w:tcW w:w="1266"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7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行次</w:t>
            </w:r>
          </w:p>
        </w:tc>
        <w:tc>
          <w:tcPr>
            <w:tcW w:w="270"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42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w:t>
            </w:r>
          </w:p>
        </w:tc>
        <w:tc>
          <w:tcPr>
            <w:tcW w:w="362"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政府性基金预算财政拨款</w:t>
            </w:r>
          </w:p>
        </w:tc>
        <w:tc>
          <w:tcPr>
            <w:tcW w:w="579"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7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2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26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17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270"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2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362"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7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172"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172" w:type="pct"/>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27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42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36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57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一、一般公共预算财政拨款</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4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一、一般公共服务支出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33</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二、政府性基金预算财政拨款</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二、外交支出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三、国有资本经营财政拨款</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三、国防支出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35</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四、公共安全支出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36</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五、教育支出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37</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六、科学技术支出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7</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七、文化旅游体育与传媒支出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八、社会保障和就业支出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40</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九、卫生健康支出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41</w:t>
            </w:r>
          </w:p>
        </w:tc>
        <w:tc>
          <w:tcPr>
            <w:tcW w:w="2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4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十、节能环保支出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42</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十一、城乡社区支出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43</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十二、农林水支出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44</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十三、交通运输支出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45</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14</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十四、资源勘探工业信息等支出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46</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十五、商业服务业等支出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47</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十六、金融支出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17</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十七、援助其他地区支出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49</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十八、自然资源海洋气象等支出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50</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十九、住房保障支出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51</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二十、粮油物资储备支出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52</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二十一、国有资本经营预算支出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53</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22</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二十二、灾害防治及应急管理支出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54</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23</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二十三、其他支出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55</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二十四、债务还本支出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56</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25</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二十五、债务付息支出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57</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26</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二十六、抗疫特别国债安排的支出</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58</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本年收入合计</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w:t>
            </w:r>
          </w:p>
        </w:tc>
        <w:tc>
          <w:tcPr>
            <w:tcW w:w="4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本年支出合计</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59</w:t>
            </w:r>
          </w:p>
        </w:tc>
        <w:tc>
          <w:tcPr>
            <w:tcW w:w="2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4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年初财政拨款结转和结余</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28</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年末财政拨款结转和结余</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60</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一般公共预算财政拨款</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29</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61</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政府性基金预算财政拨款</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62</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国有资本经营预算财政拨款</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w:t>
            </w: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266"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63</w:t>
            </w:r>
          </w:p>
        </w:tc>
        <w:tc>
          <w:tcPr>
            <w:tcW w:w="27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21"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1333"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总计</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32</w:t>
            </w:r>
          </w:p>
        </w:tc>
        <w:tc>
          <w:tcPr>
            <w:tcW w:w="4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12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总计</w:t>
            </w:r>
          </w:p>
        </w:tc>
        <w:tc>
          <w:tcPr>
            <w:tcW w:w="172"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64</w:t>
            </w:r>
          </w:p>
        </w:tc>
        <w:tc>
          <w:tcPr>
            <w:tcW w:w="270"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421"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36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7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jc w:val="center"/>
      </w:pPr>
    </w:p>
    <w:p>
      <w:pPr>
        <w:jc w:val="center"/>
      </w:pPr>
    </w:p>
    <w:p>
      <w:pPr>
        <w:jc w:val="cente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00"/>
        <w:gridCol w:w="222"/>
        <w:gridCol w:w="223"/>
        <w:gridCol w:w="1698"/>
        <w:gridCol w:w="849"/>
        <w:gridCol w:w="850"/>
        <w:gridCol w:w="15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819"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9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9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2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819"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部门：辽宁省本溪市明山区高台子镇卫生院</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9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9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9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925"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076"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1923"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80"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995"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498"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499"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92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 w:hRule="atLeast"/>
        </w:trPr>
        <w:tc>
          <w:tcPr>
            <w:tcW w:w="2080"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95"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98"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9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2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080"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95"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98"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9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92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076"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49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499"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92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076"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49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12.00</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12.00</w:t>
            </w:r>
          </w:p>
        </w:tc>
        <w:tc>
          <w:tcPr>
            <w:tcW w:w="9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080"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w:t>
            </w:r>
          </w:p>
        </w:tc>
        <w:tc>
          <w:tcPr>
            <w:tcW w:w="9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卫生健康支出</w:t>
            </w:r>
          </w:p>
        </w:tc>
        <w:tc>
          <w:tcPr>
            <w:tcW w:w="49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9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080"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w:t>
            </w:r>
          </w:p>
        </w:tc>
        <w:tc>
          <w:tcPr>
            <w:tcW w:w="9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公共卫生</w:t>
            </w:r>
          </w:p>
        </w:tc>
        <w:tc>
          <w:tcPr>
            <w:tcW w:w="49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9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080" w:type="pct"/>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2100408</w:t>
            </w:r>
          </w:p>
        </w:tc>
        <w:tc>
          <w:tcPr>
            <w:tcW w:w="995"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基本公共卫生服务</w:t>
            </w:r>
          </w:p>
        </w:tc>
        <w:tc>
          <w:tcPr>
            <w:tcW w:w="498"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49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9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208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9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9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08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9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9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08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9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9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08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9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9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208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995"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98"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9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92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tbl>
      <w:tblPr>
        <w:tblStyle w:val="3"/>
        <w:tblW w:w="500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17"/>
        <w:gridCol w:w="1344"/>
        <w:gridCol w:w="768"/>
        <w:gridCol w:w="856"/>
        <w:gridCol w:w="1115"/>
        <w:gridCol w:w="705"/>
        <w:gridCol w:w="816"/>
        <w:gridCol w:w="1008"/>
        <w:gridCol w:w="793"/>
        <w:gridCol w:w="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 w:type="pct"/>
          <w:trHeight w:val="384" w:hRule="atLeast"/>
        </w:trPr>
        <w:tc>
          <w:tcPr>
            <w:tcW w:w="4992" w:type="pct"/>
            <w:gridSpan w:val="9"/>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一般公共预算财政拨款基本支出决算表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654"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78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4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0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5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1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7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9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71" w:type="pct"/>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654"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部门：辽宁省本溪市明山区高台子镇卫生院</w:t>
            </w:r>
          </w:p>
        </w:tc>
        <w:tc>
          <w:tcPr>
            <w:tcW w:w="787"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4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01"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5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1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78"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9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71" w:type="pct"/>
            <w:gridSpan w:val="2"/>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 w:type="pct"/>
          <w:trHeight w:val="462" w:hRule="atLeast"/>
        </w:trPr>
        <w:tc>
          <w:tcPr>
            <w:tcW w:w="1891" w:type="pct"/>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人员经费</w:t>
            </w:r>
          </w:p>
        </w:tc>
        <w:tc>
          <w:tcPr>
            <w:tcW w:w="3101" w:type="pct"/>
            <w:gridSpan w:val="6"/>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78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449"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c>
          <w:tcPr>
            <w:tcW w:w="501"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653"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413"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c>
          <w:tcPr>
            <w:tcW w:w="478"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科目编码</w:t>
            </w:r>
          </w:p>
        </w:tc>
        <w:tc>
          <w:tcPr>
            <w:tcW w:w="59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471" w:type="pct"/>
            <w:gridSpan w:val="2"/>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78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49"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01"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5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13"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78"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9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71" w:type="pct"/>
            <w:gridSpan w:val="2"/>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工资福利支出</w:t>
            </w:r>
          </w:p>
        </w:tc>
        <w:tc>
          <w:tcPr>
            <w:tcW w:w="4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11.84</w:t>
            </w: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商品和服务支出</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债务利息及费用支出</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30101</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基本工资</w:t>
            </w:r>
          </w:p>
        </w:tc>
        <w:tc>
          <w:tcPr>
            <w:tcW w:w="4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11.84</w:t>
            </w: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30201</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办公费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30701</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国内债务付息</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30102</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津贴补贴</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30202</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印刷费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30702</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国外债务付息</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30103</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奖金</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30203</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咨询费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资本性支出</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30106</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伙食补助费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30204</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手续费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31001</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房屋建筑物购建</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30107</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绩效工资</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30205</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水费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31002</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办公设备购置</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30108</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机关事业单位基本养老保险缴费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30206</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电费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31003</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专用设备购置</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30109</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职业年金缴费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30207</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邮电费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31005</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基础设施建设</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30110</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职工基本医疗保险缴费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30208</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取暖费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31006</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大型修缮</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30111</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公务员医疗补助缴费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30209</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物业管理费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31007</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信息网络及软件购置更新</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30112</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其他社会保障缴费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30211</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差旅费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31008</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物资储备</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30113</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住房公积金</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30212</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因公出国（境）费用</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31009</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土地补偿</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30114</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医疗费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30213</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维修（护）费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31010</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安置补助</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其他工资福利支出</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30214</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租赁费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31011</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地上附着物和青苗补偿</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对个人和家庭的补助</w:t>
            </w:r>
          </w:p>
        </w:tc>
        <w:tc>
          <w:tcPr>
            <w:tcW w:w="4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0.16</w:t>
            </w: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30215</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会议费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31012</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拆迁补偿</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30301</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离休费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30216</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培训费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31013</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公务用车购置</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30302</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退休费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30217</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公务接待费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31019</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其他交通工具购置</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30303</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退职（役）费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30218</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专用材料费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31021</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文物和陈列品购置</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30304</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抚恤金</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30224</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被装购置费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31022</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无形资产购置</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30305</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生活补助</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30225</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专用燃料费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31099</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其他资本性支出</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30306</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救济费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30226</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劳务费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对企业补助</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30307</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医疗费补助</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30227</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委托业务费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31201</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资本金注入</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30308</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助学金</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30228</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工会经费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31203</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政府投资基金股权投资</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30309</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奖励金</w:t>
            </w:r>
          </w:p>
        </w:tc>
        <w:tc>
          <w:tcPr>
            <w:tcW w:w="4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0.16</w:t>
            </w: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30229</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福利费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31204</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费用补贴</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30310</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个人农业生产补贴</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30231</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公务用车运行维护费</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31205</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利息补贴</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30311</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代缴社会保险费</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30239</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其他交通费用</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31299</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其他对企业补助</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30399</w:t>
            </w:r>
          </w:p>
        </w:tc>
        <w:tc>
          <w:tcPr>
            <w:tcW w:w="78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其他对个人和家庭的补助</w:t>
            </w: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30240</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税金及附加费用</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其他支出</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78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30299</w:t>
            </w:r>
          </w:p>
        </w:tc>
        <w:tc>
          <w:tcPr>
            <w:tcW w:w="653"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其他商品和服务支出</w:t>
            </w:r>
          </w:p>
        </w:tc>
        <w:tc>
          <w:tcPr>
            <w:tcW w:w="413"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39906</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赠与</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78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53"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41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39907</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国家赔偿费用支出</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78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53"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41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39908</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对民间非营利组织和群众性自治组织补贴</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654" w:type="pct"/>
            <w:tcBorders>
              <w:top w:val="nil"/>
              <w:left w:val="single" w:color="000000" w:sz="4" w:space="0"/>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787"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449"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501"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653" w:type="pct"/>
            <w:tcBorders>
              <w:top w:val="nil"/>
              <w:left w:val="nil"/>
              <w:bottom w:val="single" w:color="000000" w:sz="4" w:space="0"/>
              <w:right w:val="single" w:color="000000" w:sz="4" w:space="0"/>
            </w:tcBorders>
            <w:shd w:val="clear" w:color="FFFFFF" w:fill="C0C0C0"/>
            <w:noWrap/>
            <w:vAlign w:val="center"/>
          </w:tcPr>
          <w:p>
            <w:pPr>
              <w:jc w:val="left"/>
              <w:rPr>
                <w:rFonts w:hint="eastAsia" w:ascii="宋体" w:hAnsi="宋体" w:eastAsia="宋体" w:cs="宋体"/>
                <w:i w:val="0"/>
                <w:iCs w:val="0"/>
                <w:color w:val="000000"/>
                <w:sz w:val="13"/>
                <w:szCs w:val="13"/>
                <w:u w:val="none"/>
              </w:rPr>
            </w:pPr>
          </w:p>
        </w:tc>
        <w:tc>
          <w:tcPr>
            <w:tcW w:w="41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78"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39999</w:t>
            </w:r>
          </w:p>
        </w:tc>
        <w:tc>
          <w:tcPr>
            <w:tcW w:w="59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其他支出</w:t>
            </w:r>
          </w:p>
        </w:tc>
        <w:tc>
          <w:tcPr>
            <w:tcW w:w="471" w:type="pct"/>
            <w:gridSpan w:val="2"/>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7" w:type="pct"/>
          <w:trHeight w:val="462" w:hRule="atLeast"/>
        </w:trPr>
        <w:tc>
          <w:tcPr>
            <w:tcW w:w="1441" w:type="pct"/>
            <w:gridSpan w:val="2"/>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人员经费合计</w:t>
            </w:r>
          </w:p>
        </w:tc>
        <w:tc>
          <w:tcPr>
            <w:tcW w:w="449" w:type="pc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12.00</w:t>
            </w:r>
          </w:p>
        </w:tc>
        <w:tc>
          <w:tcPr>
            <w:tcW w:w="2636" w:type="pct"/>
            <w:gridSpan w:val="5"/>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公用经费合计</w:t>
            </w:r>
          </w:p>
        </w:tc>
        <w:tc>
          <w:tcPr>
            <w:tcW w:w="46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52"/>
        <w:gridCol w:w="1162"/>
        <w:gridCol w:w="20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3"/>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一般公共预算财政拨款“三公”经费支出决算表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3140"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68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7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3140"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部门名称:辽宁省本溪市明山区高台子镇卫生院</w:t>
            </w:r>
          </w:p>
        </w:tc>
        <w:tc>
          <w:tcPr>
            <w:tcW w:w="682"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176"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140" w:type="pct"/>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项    目</w:t>
            </w:r>
          </w:p>
        </w:tc>
        <w:tc>
          <w:tcPr>
            <w:tcW w:w="682" w:type="pc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预算数</w:t>
            </w:r>
          </w:p>
        </w:tc>
        <w:tc>
          <w:tcPr>
            <w:tcW w:w="1176" w:type="pct"/>
            <w:tcBorders>
              <w:top w:val="single" w:color="000000" w:sz="4" w:space="0"/>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1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合    计</w:t>
            </w:r>
          </w:p>
        </w:tc>
        <w:tc>
          <w:tcPr>
            <w:tcW w:w="68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117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1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1、因公出国（境）费</w:t>
            </w:r>
          </w:p>
        </w:tc>
        <w:tc>
          <w:tcPr>
            <w:tcW w:w="68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7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31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2、公务接待费</w:t>
            </w:r>
          </w:p>
        </w:tc>
        <w:tc>
          <w:tcPr>
            <w:tcW w:w="68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7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85" w:hRule="atLeast"/>
        </w:trPr>
        <w:tc>
          <w:tcPr>
            <w:tcW w:w="31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3、公务用车购置及运行费</w:t>
            </w:r>
          </w:p>
        </w:tc>
        <w:tc>
          <w:tcPr>
            <w:tcW w:w="68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7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5" w:hRule="atLeast"/>
        </w:trPr>
        <w:tc>
          <w:tcPr>
            <w:tcW w:w="31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其中: （1）公务用车运行维护费</w:t>
            </w:r>
          </w:p>
        </w:tc>
        <w:tc>
          <w:tcPr>
            <w:tcW w:w="68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7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5" w:hRule="atLeast"/>
        </w:trPr>
        <w:tc>
          <w:tcPr>
            <w:tcW w:w="3140" w:type="pct"/>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（2）公务用车购置费</w:t>
            </w:r>
          </w:p>
        </w:tc>
        <w:tc>
          <w:tcPr>
            <w:tcW w:w="682"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17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jc w:val="center"/>
      </w:pPr>
    </w:p>
    <w:p>
      <w:pPr>
        <w:jc w:val="cente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86"/>
        <w:gridCol w:w="222"/>
        <w:gridCol w:w="222"/>
        <w:gridCol w:w="736"/>
        <w:gridCol w:w="688"/>
        <w:gridCol w:w="710"/>
        <w:gridCol w:w="710"/>
        <w:gridCol w:w="710"/>
        <w:gridCol w:w="711"/>
        <w:gridCol w:w="1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10"/>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 w:hRule="atLeast"/>
        </w:trPr>
        <w:tc>
          <w:tcPr>
            <w:tcW w:w="1541"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541"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部门：辽宁省本溪市明山区高台子镇卫生院</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23"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4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24"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25"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43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年初结转和结余</w:t>
            </w:r>
          </w:p>
        </w:tc>
        <w:tc>
          <w:tcPr>
            <w:tcW w:w="430"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本年收入</w:t>
            </w:r>
          </w:p>
        </w:tc>
        <w:tc>
          <w:tcPr>
            <w:tcW w:w="1290"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c>
          <w:tcPr>
            <w:tcW w:w="624" w:type="pct"/>
            <w:vMerge w:val="restart"/>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802"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423"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43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小计</w:t>
            </w:r>
          </w:p>
        </w:tc>
        <w:tc>
          <w:tcPr>
            <w:tcW w:w="43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430"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c>
          <w:tcPr>
            <w:tcW w:w="624"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802"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2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24"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802"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23"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430"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24" w:type="pct"/>
            <w:vMerge w:val="continue"/>
            <w:tcBorders>
              <w:top w:val="single" w:color="000000" w:sz="4" w:space="0"/>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25"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43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43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43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c>
          <w:tcPr>
            <w:tcW w:w="43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w:t>
            </w:r>
          </w:p>
        </w:tc>
        <w:tc>
          <w:tcPr>
            <w:tcW w:w="430"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5</w:t>
            </w:r>
          </w:p>
        </w:tc>
        <w:tc>
          <w:tcPr>
            <w:tcW w:w="624"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2225"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62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0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0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0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0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0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1802"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23"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430"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24"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jc w:val="center"/>
      </w:pPr>
    </w:p>
    <w:p>
      <w:pPr>
        <w:jc w:val="center"/>
      </w:pPr>
    </w:p>
    <w:p>
      <w:pPr>
        <w:jc w:val="center"/>
      </w:pPr>
    </w:p>
    <w:p>
      <w:pPr>
        <w:jc w:val="center"/>
      </w:pPr>
    </w:p>
    <w:p>
      <w:pPr>
        <w:jc w:val="center"/>
      </w:pP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06"/>
        <w:gridCol w:w="222"/>
        <w:gridCol w:w="222"/>
        <w:gridCol w:w="903"/>
        <w:gridCol w:w="1306"/>
        <w:gridCol w:w="1133"/>
        <w:gridCol w:w="14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 w:hRule="atLeast"/>
        </w:trPr>
        <w:tc>
          <w:tcPr>
            <w:tcW w:w="5000" w:type="pct"/>
            <w:gridSpan w:val="7"/>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940" w:type="pct"/>
            <w:tcBorders>
              <w:top w:val="nil"/>
              <w:left w:val="nil"/>
              <w:bottom w:val="nil"/>
              <w:right w:val="nil"/>
            </w:tcBorders>
            <w:shd w:val="clear" w:color="auto" w:fill="auto"/>
            <w:noWrap/>
            <w:vAlign w:val="bottom"/>
          </w:tcPr>
          <w:p>
            <w:pPr>
              <w:rPr>
                <w:rFonts w:hint="eastAsia"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2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6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940" w:type="pct"/>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部门：辽宁省本溪市明山区高台子镇卫生院</w:t>
            </w: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130"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529"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766"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665" w:type="pct"/>
            <w:tcBorders>
              <w:top w:val="nil"/>
              <w:left w:val="nil"/>
              <w:bottom w:val="nil"/>
              <w:right w:val="nil"/>
            </w:tcBorders>
            <w:shd w:val="clear" w:color="auto" w:fill="auto"/>
            <w:noWrap/>
            <w:vAlign w:val="bottom"/>
          </w:tcPr>
          <w:p>
            <w:pPr>
              <w:rPr>
                <w:rFonts w:hint="default" w:ascii="Arial" w:hAnsi="Arial" w:cs="Arial"/>
                <w:i w:val="0"/>
                <w:iCs w:val="0"/>
                <w:color w:val="000000"/>
                <w:sz w:val="13"/>
                <w:szCs w:val="13"/>
                <w:u w:val="none"/>
              </w:rPr>
            </w:pPr>
          </w:p>
        </w:tc>
        <w:tc>
          <w:tcPr>
            <w:tcW w:w="837" w:type="pct"/>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730" w:type="pct"/>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w:t>
            </w:r>
          </w:p>
        </w:tc>
        <w:tc>
          <w:tcPr>
            <w:tcW w:w="2269" w:type="pct"/>
            <w:gridSpan w:val="3"/>
            <w:tcBorders>
              <w:top w:val="single" w:color="000000" w:sz="4" w:space="0"/>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00" w:type="pct"/>
            <w:gridSpan w:val="3"/>
            <w:vMerge w:val="restart"/>
            <w:tcBorders>
              <w:top w:val="nil"/>
              <w:left w:val="single" w:color="000000" w:sz="4" w:space="0"/>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功能分类科目编码</w:t>
            </w:r>
          </w:p>
        </w:tc>
        <w:tc>
          <w:tcPr>
            <w:tcW w:w="529" w:type="pct"/>
            <w:vMerge w:val="restar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科目名称</w:t>
            </w:r>
          </w:p>
        </w:tc>
        <w:tc>
          <w:tcPr>
            <w:tcW w:w="766"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665"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基本支出</w:t>
            </w:r>
          </w:p>
        </w:tc>
        <w:tc>
          <w:tcPr>
            <w:tcW w:w="837" w:type="pct"/>
            <w:vMerge w:val="restart"/>
            <w:tcBorders>
              <w:top w:val="nil"/>
              <w:left w:val="nil"/>
              <w:bottom w:val="single" w:color="000000" w:sz="4" w:space="0"/>
              <w:right w:val="single" w:color="000000" w:sz="4" w:space="0"/>
            </w:tcBorders>
            <w:shd w:val="clear" w:color="FFFFFF" w:fill="C0C0C0"/>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00"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2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76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6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2200" w:type="pct"/>
            <w:gridSpan w:val="3"/>
            <w:vMerge w:val="continue"/>
            <w:tcBorders>
              <w:top w:val="nil"/>
              <w:left w:val="single" w:color="000000" w:sz="4" w:space="0"/>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529" w:type="pct"/>
            <w:vMerge w:val="continue"/>
            <w:tcBorders>
              <w:top w:val="nil"/>
              <w:left w:val="nil"/>
              <w:bottom w:val="single" w:color="000000" w:sz="4" w:space="0"/>
              <w:right w:val="single" w:color="000000" w:sz="4" w:space="0"/>
            </w:tcBorders>
            <w:shd w:val="clear" w:color="FFFFFF" w:fill="C0C0C0"/>
            <w:noWrap/>
            <w:vAlign w:val="center"/>
          </w:tcPr>
          <w:p>
            <w:pPr>
              <w:jc w:val="center"/>
              <w:rPr>
                <w:rFonts w:hint="eastAsia" w:ascii="宋体" w:hAnsi="宋体" w:eastAsia="宋体" w:cs="宋体"/>
                <w:i w:val="0"/>
                <w:iCs w:val="0"/>
                <w:color w:val="000000"/>
                <w:sz w:val="13"/>
                <w:szCs w:val="13"/>
                <w:u w:val="none"/>
              </w:rPr>
            </w:pPr>
          </w:p>
        </w:tc>
        <w:tc>
          <w:tcPr>
            <w:tcW w:w="766"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665"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c>
          <w:tcPr>
            <w:tcW w:w="837" w:type="pct"/>
            <w:vMerge w:val="continue"/>
            <w:tcBorders>
              <w:top w:val="nil"/>
              <w:left w:val="nil"/>
              <w:bottom w:val="single" w:color="000000" w:sz="4" w:space="0"/>
              <w:right w:val="single" w:color="000000" w:sz="4" w:space="0"/>
            </w:tcBorders>
            <w:shd w:val="clear" w:color="FFFFFF" w:fill="C0C0C0"/>
            <w:vAlign w:val="center"/>
          </w:tcPr>
          <w:p>
            <w:pPr>
              <w:jc w:val="center"/>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730"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栏次</w:t>
            </w:r>
          </w:p>
        </w:tc>
        <w:tc>
          <w:tcPr>
            <w:tcW w:w="766"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w:t>
            </w:r>
          </w:p>
        </w:tc>
        <w:tc>
          <w:tcPr>
            <w:tcW w:w="665"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w:t>
            </w:r>
          </w:p>
        </w:tc>
        <w:tc>
          <w:tcPr>
            <w:tcW w:w="837" w:type="pct"/>
            <w:tcBorders>
              <w:top w:val="nil"/>
              <w:left w:val="nil"/>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730" w:type="pct"/>
            <w:gridSpan w:val="4"/>
            <w:tcBorders>
              <w:top w:val="nil"/>
              <w:left w:val="single" w:color="000000" w:sz="4" w:space="0"/>
              <w:bottom w:val="single" w:color="000000" w:sz="4" w:space="0"/>
              <w:right w:val="single" w:color="000000" w:sz="4" w:space="0"/>
            </w:tcBorders>
            <w:shd w:val="clear" w:color="FFFFFF" w:fill="C0C0C0"/>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合计</w:t>
            </w:r>
          </w:p>
        </w:tc>
        <w:tc>
          <w:tcPr>
            <w:tcW w:w="7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66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2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6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2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6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2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6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2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6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22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6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2" w:hRule="atLeast"/>
        </w:trPr>
        <w:tc>
          <w:tcPr>
            <w:tcW w:w="2200" w:type="pct"/>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529" w:type="pct"/>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766"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665"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837" w:type="pct"/>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bl>
    <w:p>
      <w:pPr>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3</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3962405"/>
    <w:multiLevelType w:val="singleLevel"/>
    <w:tmpl w:val="C3962405"/>
    <w:lvl w:ilvl="0" w:tentative="0">
      <w:start w:val="3"/>
      <w:numFmt w:val="chineseCounting"/>
      <w:suff w:val="nothing"/>
      <w:lvlText w:val="（%1）"/>
      <w:lvlJc w:val="left"/>
      <w:rPr>
        <w:rFonts w:hint="eastAsia"/>
      </w:rPr>
    </w:lvl>
  </w:abstractNum>
  <w:abstractNum w:abstractNumId="1">
    <w:nsid w:val="7E4576A7"/>
    <w:multiLevelType w:val="singleLevel"/>
    <w:tmpl w:val="7E4576A7"/>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dit="trackedChanges"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5ZDIwYmNlNDhhNjgzNGI5NDRlMjZiNjc4ZTAxYjMifQ=="/>
  </w:docVars>
  <w:rsids>
    <w:rsidRoot w:val="09D2319E"/>
    <w:rsid w:val="09D2319E"/>
    <w:rsid w:val="12E12C9A"/>
    <w:rsid w:val="16B36EEF"/>
    <w:rsid w:val="176E40DD"/>
    <w:rsid w:val="372D37D2"/>
    <w:rsid w:val="38B92DE7"/>
    <w:rsid w:val="65ED29B8"/>
    <w:rsid w:val="688A09F0"/>
    <w:rsid w:val="6A193C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5229</Words>
  <Characters>6131</Characters>
  <Lines>0</Lines>
  <Paragraphs>0</Paragraphs>
  <TotalTime>1</TotalTime>
  <ScaleCrop>false</ScaleCrop>
  <LinksUpToDate>false</LinksUpToDate>
  <CharactersWithSpaces>6326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2022-09-20T01:39:00Z</dcterms:created>
  <dc:creator>Administrator</dc:creator>
  <cp:lastModifiedBy>Administrator</cp:lastModifiedBy>
  <dcterms:modified xsi:type="dcterms:W3CDTF">2023-03-31T08:14:12Z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057FEB5C840546B39A2DF5EB5A7EB88A</vt:lpwstr>
  </property>
</Properties>
</file>