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36"/>
          <w:szCs w:val="36"/>
          <w:lang w:eastAsia="zh-CN"/>
        </w:rPr>
      </w:pPr>
      <w:r>
        <w:rPr>
          <w:rFonts w:hint="eastAsia" w:ascii="宋体" w:hAnsi="宋体" w:eastAsia="宋体" w:cs="宋体"/>
          <w:b/>
          <w:bCs/>
          <w:sz w:val="44"/>
          <w:szCs w:val="44"/>
        </w:rPr>
        <w:t>卧龙街道社区卫生服务中心</w:t>
      </w:r>
    </w:p>
    <w:p>
      <w:pPr>
        <w:spacing w:line="540" w:lineRule="exact"/>
        <w:jc w:val="center"/>
        <w:rPr>
          <w:rFonts w:hint="eastAsia" w:ascii="宋体" w:hAnsi="宋体"/>
          <w:b/>
          <w:sz w:val="36"/>
          <w:szCs w:val="36"/>
          <w:lang w:eastAsia="zh-CN"/>
        </w:rPr>
      </w:pPr>
      <w:r>
        <w:rPr>
          <w:rFonts w:hint="eastAsia" w:ascii="宋体" w:hAnsi="宋体"/>
          <w:b/>
          <w:sz w:val="52"/>
          <w:szCs w:val="52"/>
          <w:lang w:eastAsia="zh-CN"/>
        </w:rPr>
        <w:t>2021</w:t>
      </w:r>
      <w:r>
        <w:rPr>
          <w:rFonts w:hint="eastAsia" w:ascii="宋体" w:hAnsi="宋体"/>
          <w:b/>
          <w:sz w:val="52"/>
          <w:szCs w:val="52"/>
        </w:rPr>
        <w:t>年度部门决算</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numPr>
          <w:ilvl w:val="0"/>
          <w:numId w:val="1"/>
        </w:numPr>
        <w:rPr>
          <w:rFonts w:hint="eastAsia" w:ascii="黑体" w:eastAsia="黑体"/>
          <w:sz w:val="32"/>
          <w:szCs w:val="32"/>
        </w:rPr>
      </w:pPr>
      <w:r>
        <w:rPr>
          <w:rFonts w:hint="eastAsia" w:ascii="黑体" w:eastAsia="黑体"/>
          <w:sz w:val="32"/>
          <w:szCs w:val="32"/>
        </w:rPr>
        <w:t>主要职责</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明山区卧龙街道社区卫生服务中心主要职能为负责所辖区域内的全科医疗、预防保健、康复医疗、医学检验、医学影像、超声诊断、心电诊断、中医老年病及慢性病的治疗。</w:t>
      </w:r>
    </w:p>
    <w:p>
      <w:pPr>
        <w:rPr>
          <w:rFonts w:hint="eastAsia" w:ascii="宋体" w:hAnsi="宋体" w:eastAsia="宋体" w:cs="宋体"/>
          <w:sz w:val="28"/>
          <w:szCs w:val="28"/>
        </w:rPr>
      </w:pPr>
      <w:r>
        <w:rPr>
          <w:rFonts w:hint="eastAsia" w:ascii="宋体" w:hAnsi="宋体" w:eastAsia="宋体" w:cs="宋体"/>
          <w:bCs/>
          <w:sz w:val="28"/>
          <w:szCs w:val="28"/>
        </w:rPr>
        <w:t>二、人员情况：</w:t>
      </w:r>
      <w:r>
        <w:rPr>
          <w:rFonts w:hint="eastAsia" w:ascii="宋体" w:hAnsi="宋体" w:eastAsia="宋体" w:cs="宋体"/>
          <w:sz w:val="28"/>
          <w:szCs w:val="28"/>
        </w:rPr>
        <w:t>机构情况：当年无变动</w:t>
      </w:r>
    </w:p>
    <w:p>
      <w:pPr>
        <w:rPr>
          <w:rFonts w:hint="eastAsia" w:ascii="宋体" w:hAnsi="宋体" w:eastAsia="宋体" w:cs="宋体"/>
          <w:bCs/>
          <w:sz w:val="28"/>
          <w:szCs w:val="28"/>
        </w:rPr>
      </w:pPr>
      <w:r>
        <w:rPr>
          <w:rFonts w:hint="eastAsia" w:ascii="宋体" w:hAnsi="宋体" w:eastAsia="宋体" w:cs="宋体"/>
          <w:sz w:val="28"/>
          <w:szCs w:val="28"/>
        </w:rPr>
        <w:t>人员情况：编制34人，本年度退休1人，调出2个，年末在职人数为17人，退休31人</w:t>
      </w:r>
    </w:p>
    <w:p>
      <w:pPr>
        <w:tabs>
          <w:tab w:val="left" w:pos="1318"/>
        </w:tabs>
        <w:rPr>
          <w:rFonts w:hint="eastAsia"/>
          <w:b/>
          <w:sz w:val="32"/>
          <w:szCs w:val="32"/>
        </w:rPr>
      </w:pPr>
    </w:p>
    <w:p>
      <w:pPr>
        <w:spacing w:line="540" w:lineRule="exact"/>
        <w:jc w:val="left"/>
        <w:rPr>
          <w:rFonts w:hint="eastAsia" w:ascii="黑体" w:eastAsia="黑体"/>
          <w:sz w:val="32"/>
          <w:szCs w:val="32"/>
        </w:rPr>
      </w:pPr>
      <w:r>
        <w:rPr>
          <w:rFonts w:hint="eastAsia" w:ascii="黑体" w:eastAsia="黑体"/>
          <w:sz w:val="32"/>
          <w:szCs w:val="32"/>
        </w:rPr>
        <w:t>二、部门决算单位构成</w:t>
      </w:r>
    </w:p>
    <w:p>
      <w:pPr>
        <w:spacing w:line="5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纳入本部门决算汇编范围的独立核算单位共</w:t>
      </w:r>
      <w:r>
        <w:rPr>
          <w:rFonts w:hint="eastAsia" w:ascii="仿宋" w:hAnsi="仿宋" w:eastAsia="仿宋" w:cs="仿宋"/>
          <w:sz w:val="32"/>
          <w:szCs w:val="32"/>
          <w:u w:val="none"/>
        </w:rPr>
        <w:t>1</w:t>
      </w:r>
      <w:r>
        <w:rPr>
          <w:rFonts w:hint="eastAsia" w:ascii="仿宋" w:hAnsi="仿宋" w:eastAsia="仿宋" w:cs="仿宋"/>
          <w:sz w:val="32"/>
          <w:szCs w:val="32"/>
        </w:rPr>
        <w:t>个</w:t>
      </w:r>
      <w:r>
        <w:rPr>
          <w:rFonts w:hint="eastAsia" w:ascii="仿宋" w:hAnsi="仿宋" w:eastAsia="仿宋" w:cs="仿宋"/>
          <w:sz w:val="32"/>
          <w:szCs w:val="32"/>
          <w:lang w:val="en-US" w:eastAsia="zh-CN"/>
        </w:rPr>
        <w:t>.</w:t>
      </w:r>
    </w:p>
    <w:p>
      <w:pPr>
        <w:spacing w:line="540" w:lineRule="exact"/>
        <w:ind w:firstLine="640" w:firstLineChars="200"/>
        <w:jc w:val="left"/>
        <w:rPr>
          <w:rFonts w:hint="eastAsia" w:ascii="仿宋_GB2312" w:hAnsi="仿宋_GB2312" w:eastAsia="仿宋_GB2312"/>
          <w:sz w:val="32"/>
          <w:szCs w:val="32"/>
        </w:rPr>
      </w:pP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部分 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345.33</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3.5</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万元，政府性基金收入</w:t>
      </w:r>
      <w:r>
        <w:rPr>
          <w:rFonts w:hint="eastAsia" w:ascii="楷体_GB2312" w:hAnsi="宋体" w:eastAsia="楷体_GB2312"/>
          <w:b/>
          <w:sz w:val="32"/>
          <w:szCs w:val="32"/>
          <w:lang w:val="en-US" w:eastAsia="zh-CN"/>
        </w:rPr>
        <w:t>0</w:t>
      </w:r>
      <w:r>
        <w:rPr>
          <w:rFonts w:hint="eastAsia" w:ascii="仿宋_GB2312" w:hAnsi="宋体" w:eastAsia="仿宋_GB2312"/>
          <w:sz w:val="32"/>
          <w:szCs w:val="32"/>
        </w:rPr>
        <w:t>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w:t>
      </w:r>
      <w:r>
        <w:rPr>
          <w:rFonts w:hint="eastAsia" w:ascii="楷体_GB2312" w:hAnsi="宋体" w:eastAsia="楷体_GB2312"/>
          <w:b/>
          <w:sz w:val="32"/>
          <w:szCs w:val="32"/>
          <w:lang w:val="en-US" w:eastAsia="zh-CN"/>
        </w:rPr>
        <w:t>0</w:t>
      </w:r>
      <w:r>
        <w:rPr>
          <w:rFonts w:hint="eastAsia" w:ascii="仿宋_GB2312" w:hAnsi="宋体" w:eastAsia="仿宋_GB2312"/>
          <w:sz w:val="32"/>
          <w:szCs w:val="32"/>
        </w:rPr>
        <w:t>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楷体_GB2312" w:hAnsi="宋体" w:eastAsia="楷体_GB2312"/>
          <w:b/>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333.33</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96.5</w:t>
      </w:r>
      <w:r>
        <w:rPr>
          <w:rFonts w:hint="eastAsia" w:ascii="仿宋_GB2312" w:hAnsi="宋体" w:eastAsia="仿宋_GB2312"/>
          <w:sz w:val="32"/>
          <w:szCs w:val="32"/>
        </w:rPr>
        <w:t>%。主</w:t>
      </w:r>
      <w:r>
        <w:rPr>
          <w:rFonts w:hint="eastAsia" w:ascii="仿宋_GB2312" w:hAnsi="宋体" w:eastAsia="仿宋_GB2312"/>
          <w:sz w:val="32"/>
          <w:szCs w:val="32"/>
          <w:lang w:eastAsia="zh-CN"/>
        </w:rPr>
        <w:t>要是医疗</w:t>
      </w:r>
      <w:r>
        <w:rPr>
          <w:rFonts w:hint="eastAsia" w:ascii="仿宋_GB2312" w:hAnsi="宋体" w:eastAsia="仿宋_GB2312"/>
          <w:sz w:val="32"/>
          <w:szCs w:val="32"/>
        </w:rPr>
        <w:t>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楷体_GB2312" w:hAnsi="宋体" w:eastAsia="楷体_GB2312"/>
          <w:b/>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w:t>
      </w:r>
      <w:r>
        <w:rPr>
          <w:rFonts w:hint="eastAsia" w:ascii="仿宋_GB2312" w:hAnsi="宋体" w:eastAsia="仿宋_GB2312"/>
          <w:sz w:val="32"/>
          <w:szCs w:val="32"/>
          <w:lang w:val="en-US" w:eastAsia="zh-CN"/>
        </w:rPr>
        <w:t>收入</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57.26</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14.22%</w:t>
      </w:r>
      <w:r>
        <w:rPr>
          <w:rFonts w:hint="eastAsia" w:ascii="仿宋_GB2312" w:hAnsi="宋体" w:eastAsia="仿宋_GB2312"/>
          <w:sz w:val="32"/>
          <w:szCs w:val="32"/>
        </w:rPr>
        <w:t>，主要原因：</w:t>
      </w:r>
      <w:r>
        <w:rPr>
          <w:rFonts w:hint="eastAsia" w:ascii="仿宋_GB2312" w:hAnsi="宋体" w:eastAsia="仿宋_GB2312"/>
          <w:sz w:val="32"/>
          <w:szCs w:val="32"/>
          <w:lang w:eastAsia="zh-CN"/>
        </w:rPr>
        <w:t>疫情影响，业务量减少。</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345.33</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345.33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%。主要是为保障机构正常运转、完成日常工作任务而发生的各项支出，其中：工资福利支出</w:t>
      </w:r>
      <w:r>
        <w:rPr>
          <w:rFonts w:hint="eastAsia" w:ascii="楷体_GB2312" w:hAnsi="宋体" w:eastAsia="楷体_GB2312"/>
          <w:b/>
          <w:sz w:val="32"/>
          <w:szCs w:val="32"/>
          <w:lang w:val="en-US" w:eastAsia="zh-CN"/>
        </w:rPr>
        <w:t>283.85</w:t>
      </w:r>
      <w:r>
        <w:rPr>
          <w:rFonts w:hint="eastAsia" w:ascii="仿宋_GB2312" w:hAnsi="宋体" w:eastAsia="仿宋_GB2312"/>
          <w:sz w:val="32"/>
          <w:szCs w:val="32"/>
        </w:rPr>
        <w:t>万元，对个人和家庭的补助支出</w:t>
      </w:r>
      <w:r>
        <w:rPr>
          <w:rFonts w:hint="eastAsia" w:ascii="楷体_GB2312" w:hAnsi="宋体" w:eastAsia="楷体_GB2312"/>
          <w:b/>
          <w:sz w:val="32"/>
          <w:szCs w:val="32"/>
          <w:lang w:val="en-US" w:eastAsia="zh-CN"/>
        </w:rPr>
        <w:t>3.88</w:t>
      </w:r>
      <w:r>
        <w:rPr>
          <w:rFonts w:hint="eastAsia" w:ascii="仿宋_GB2312" w:hAnsi="宋体" w:eastAsia="仿宋_GB2312"/>
          <w:sz w:val="32"/>
          <w:szCs w:val="32"/>
        </w:rPr>
        <w:t>万元，商品和服务支出</w:t>
      </w:r>
      <w:r>
        <w:rPr>
          <w:rFonts w:hint="eastAsia" w:ascii="楷体_GB2312" w:hAnsi="宋体" w:eastAsia="楷体_GB2312"/>
          <w:b/>
          <w:sz w:val="32"/>
          <w:szCs w:val="32"/>
          <w:lang w:val="en-US" w:eastAsia="zh-CN"/>
        </w:rPr>
        <w:t>57.6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default" w:ascii="仿宋" w:hAnsi="仿宋" w:eastAsia="仿宋" w:cs="仿宋"/>
          <w:sz w:val="32"/>
          <w:szCs w:val="32"/>
          <w:lang w:val="en-US"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57.26</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14.22%</w:t>
      </w:r>
      <w:r>
        <w:rPr>
          <w:rFonts w:hint="eastAsia" w:ascii="仿宋_GB2312" w:hAnsi="宋体" w:eastAsia="仿宋_GB2312"/>
          <w:sz w:val="32"/>
          <w:szCs w:val="32"/>
        </w:rPr>
        <w:t>，主要原因：</w:t>
      </w:r>
      <w:r>
        <w:rPr>
          <w:rFonts w:hint="eastAsia" w:ascii="仿宋_GB2312" w:hAnsi="宋体" w:eastAsia="仿宋_GB2312"/>
          <w:sz w:val="32"/>
          <w:szCs w:val="32"/>
          <w:lang w:eastAsia="zh-CN"/>
        </w:rPr>
        <w:t>疫情影响，业务量减少，支出减少</w:t>
      </w:r>
      <w:r>
        <w:rPr>
          <w:rFonts w:hint="eastAsia" w:ascii="仿宋_GB2312" w:hAnsi="宋体" w:eastAsia="仿宋_GB2312"/>
          <w:sz w:val="32"/>
          <w:szCs w:val="32"/>
          <w:lang w:val="en-US" w:eastAsia="zh-CN"/>
        </w:rPr>
        <w:t>.</w:t>
      </w:r>
    </w:p>
    <w:p>
      <w:pPr>
        <w:numPr>
          <w:ilvl w:val="0"/>
          <w:numId w:val="2"/>
        </w:num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numPr>
          <w:numId w:val="0"/>
        </w:numPr>
        <w:spacing w:line="540" w:lineRule="exact"/>
        <w:rPr>
          <w:rFonts w:hint="default" w:ascii="楷体_GB2312" w:hAnsi="宋体" w:eastAsia="楷体_GB2312"/>
          <w:b/>
          <w:sz w:val="32"/>
          <w:szCs w:val="32"/>
          <w:lang w:val="en-US" w:eastAsia="zh-CN"/>
        </w:rPr>
      </w:pPr>
      <w:r>
        <w:rPr>
          <w:rFonts w:hint="eastAsia" w:ascii="楷体_GB2312" w:hAnsi="宋体" w:eastAsia="楷体_GB2312"/>
          <w:b/>
          <w:sz w:val="32"/>
          <w:szCs w:val="32"/>
          <w:lang w:val="en-US" w:eastAsia="zh-CN"/>
        </w:rPr>
        <w:t xml:space="preserve">    比上年增减0万元。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元，其中：基本支出</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万元，项目支出</w:t>
      </w:r>
      <w:r>
        <w:rPr>
          <w:rFonts w:hint="eastAsia" w:ascii="楷体_GB2312" w:hAnsi="宋体" w:eastAsia="楷体_GB2312"/>
          <w:b/>
          <w:sz w:val="32"/>
          <w:szCs w:val="32"/>
          <w:lang w:val="en-US" w:eastAsia="zh-CN"/>
        </w:rPr>
        <w:t>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48</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76%</w:t>
      </w:r>
      <w:r>
        <w:rPr>
          <w:rFonts w:hint="eastAsia" w:ascii="仿宋_GB2312" w:hAnsi="宋体" w:eastAsia="仿宋_GB2312"/>
          <w:sz w:val="32"/>
          <w:szCs w:val="32"/>
        </w:rPr>
        <w:t>主要原因：</w:t>
      </w:r>
      <w:r>
        <w:rPr>
          <w:rFonts w:hint="eastAsia" w:ascii="仿宋" w:hAnsi="仿宋" w:eastAsia="仿宋" w:cs="仿宋"/>
          <w:sz w:val="32"/>
          <w:szCs w:val="32"/>
          <w:lang w:eastAsia="zh-CN"/>
        </w:rPr>
        <w:t>财政拨款减少</w:t>
      </w:r>
      <w:r>
        <w:rPr>
          <w:rFonts w:hint="eastAsia" w:ascii="仿宋" w:hAnsi="仿宋" w:eastAsia="仿宋" w:cs="仿宋"/>
          <w:sz w:val="32"/>
          <w:szCs w:val="32"/>
          <w:lang w:val="en-US" w:eastAsia="zh-CN"/>
        </w:rPr>
        <w:t>.</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基本支出</w:t>
      </w:r>
      <w:r>
        <w:rPr>
          <w:rFonts w:hint="eastAsia" w:ascii="仿宋_GB2312" w:hAnsi="宋体" w:eastAsia="仿宋_GB2312"/>
          <w:sz w:val="32"/>
          <w:szCs w:val="32"/>
          <w:lang w:val="en-US" w:eastAsia="zh-CN"/>
        </w:rPr>
        <w:t>12万,占</w:t>
      </w:r>
      <w:r>
        <w:rPr>
          <w:rFonts w:hint="eastAsia" w:ascii="仿宋_GB2312" w:hAnsi="宋体" w:eastAsia="仿宋_GB2312"/>
          <w:sz w:val="32"/>
          <w:szCs w:val="32"/>
        </w:rPr>
        <w:t>一般公共预算财政拨款支出</w:t>
      </w:r>
      <w:r>
        <w:rPr>
          <w:rFonts w:hint="eastAsia" w:ascii="仿宋_GB2312" w:hAnsi="宋体" w:eastAsia="仿宋_GB2312"/>
          <w:sz w:val="32"/>
          <w:szCs w:val="32"/>
          <w:lang w:eastAsia="zh-CN"/>
        </w:rPr>
        <w:t>的</w:t>
      </w:r>
      <w:r>
        <w:rPr>
          <w:rFonts w:hint="eastAsia" w:ascii="仿宋_GB2312" w:hAnsi="宋体" w:eastAsia="仿宋_GB2312"/>
          <w:sz w:val="32"/>
          <w:szCs w:val="32"/>
          <w:lang w:val="en-US" w:eastAsia="zh-CN"/>
        </w:rPr>
        <w:t>100%</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基本支出包括:人员经费中的基本工资支出12万元,占基本支出100%</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楷体_GB2312" w:hAnsi="宋体" w:eastAsia="楷体_GB2312"/>
          <w:b/>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.与年初预算数、上年数保持一致。</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与年初预算数、上年数保持一致。</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楷体_GB2312" w:hAnsi="宋体" w:eastAsia="楷体_GB2312"/>
          <w:b/>
          <w:sz w:val="32"/>
          <w:szCs w:val="32"/>
        </w:rPr>
        <w:t>0</w:t>
      </w:r>
      <w:r>
        <w:rPr>
          <w:rFonts w:hint="eastAsia" w:ascii="仿宋_GB2312" w:hAnsi="宋体" w:eastAsia="仿宋_GB2312"/>
          <w:sz w:val="32"/>
          <w:szCs w:val="32"/>
        </w:rPr>
        <w:t>万元，完成年初预算的100%。其中：因公出国（境）费</w:t>
      </w:r>
      <w:r>
        <w:rPr>
          <w:rFonts w:hint="eastAsia" w:ascii="楷体_GB2312" w:hAnsi="宋体" w:eastAsia="楷体_GB2312"/>
          <w:b/>
          <w:sz w:val="32"/>
          <w:szCs w:val="32"/>
        </w:rPr>
        <w:t>0</w:t>
      </w:r>
      <w:r>
        <w:rPr>
          <w:rFonts w:hint="eastAsia" w:ascii="仿宋_GB2312" w:hAnsi="宋体" w:eastAsia="仿宋_GB2312"/>
          <w:sz w:val="32"/>
          <w:szCs w:val="32"/>
        </w:rPr>
        <w:t>万元，公务接待费</w:t>
      </w:r>
      <w:r>
        <w:rPr>
          <w:rFonts w:hint="eastAsia" w:ascii="楷体_GB2312" w:hAnsi="宋体" w:eastAsia="楷体_GB2312"/>
          <w:b/>
          <w:sz w:val="32"/>
          <w:szCs w:val="32"/>
        </w:rPr>
        <w:t>0</w:t>
      </w:r>
      <w:r>
        <w:rPr>
          <w:rFonts w:hint="eastAsia" w:ascii="仿宋_GB2312" w:hAnsi="宋体" w:eastAsia="仿宋_GB2312"/>
          <w:sz w:val="32"/>
          <w:szCs w:val="32"/>
        </w:rPr>
        <w:t>万元，公务用车购置及运行维护费</w:t>
      </w:r>
      <w:r>
        <w:rPr>
          <w:rFonts w:hint="eastAsia" w:ascii="楷体_GB2312" w:hAnsi="宋体" w:eastAsia="楷体_GB2312"/>
          <w:b/>
          <w:sz w:val="32"/>
          <w:szCs w:val="32"/>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1.因公出国（境）费0万元，占“三公”经费支出的0%。完成年初预算的100%。2021年参加出国（境）团组0个，累计0人次。2021年因公出国（境）费与上年比无变化。</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楷体_GB2312" w:hAnsi="宋体" w:eastAsia="楷体_GB2312"/>
          <w:b/>
          <w:sz w:val="32"/>
          <w:szCs w:val="32"/>
        </w:rPr>
        <w:t>0</w:t>
      </w:r>
      <w:r>
        <w:rPr>
          <w:rFonts w:hint="eastAsia" w:ascii="仿宋_GB2312" w:hAnsi="宋体" w:eastAsia="仿宋_GB2312"/>
          <w:sz w:val="32"/>
          <w:szCs w:val="32"/>
        </w:rPr>
        <w:t>万元，占“三公”经费支出的0%。完成年初预算的100%。2021年国内公务接待累计0批次、0人、0万元；其中外事接待累计0批次、0人、0万元。2021年公务接待费与上年比无变化。</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楷体_GB2312" w:hAnsi="宋体" w:eastAsia="楷体_GB2312"/>
          <w:b/>
          <w:sz w:val="32"/>
          <w:szCs w:val="32"/>
        </w:rPr>
        <w:t>0</w:t>
      </w:r>
      <w:r>
        <w:rPr>
          <w:rFonts w:hint="eastAsia" w:ascii="仿宋_GB2312" w:hAnsi="宋体" w:eastAsia="仿宋_GB2312"/>
          <w:sz w:val="32"/>
          <w:szCs w:val="32"/>
        </w:rPr>
        <w:t>万元，占“三公”经费支出的0%。完成年初预算的100%。2021年公务用车购置及</w:t>
      </w:r>
      <w:r>
        <w:rPr>
          <w:rFonts w:ascii="仿宋_GB2312" w:hAnsi="宋体" w:eastAsia="仿宋_GB2312"/>
          <w:sz w:val="32"/>
          <w:szCs w:val="32"/>
        </w:rPr>
        <w:t>运行费</w:t>
      </w:r>
      <w:r>
        <w:rPr>
          <w:rFonts w:hint="eastAsia" w:ascii="仿宋_GB2312" w:hAnsi="宋体" w:eastAsia="仿宋_GB2312"/>
          <w:sz w:val="32"/>
          <w:szCs w:val="32"/>
        </w:rPr>
        <w:t>与上年比无变化。</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其中：公务用车购置费0万元，当年购置公务用车0辆。公务用车运行维护费0万元，截至年末使用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公务用车保有量0辆。</w:t>
      </w:r>
    </w:p>
    <w:p>
      <w:pPr>
        <w:spacing w:line="540" w:lineRule="exact"/>
        <w:ind w:firstLine="645"/>
        <w:rPr>
          <w:rFonts w:hint="eastAsia" w:ascii="仿宋_GB2312" w:hAnsi="宋体" w:eastAsia="仿宋_GB2312"/>
          <w:sz w:val="32"/>
          <w:szCs w:val="32"/>
        </w:rPr>
      </w:pP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万元，其中：人员经费</w:t>
      </w:r>
      <w:r>
        <w:rPr>
          <w:rFonts w:hint="eastAsia" w:ascii="楷体_GB2312" w:hAnsi="宋体" w:eastAsia="楷体_GB2312"/>
          <w:b/>
          <w:sz w:val="32"/>
          <w:szCs w:val="32"/>
          <w:lang w:val="en-US" w:eastAsia="zh-CN"/>
        </w:rPr>
        <w:t>12</w:t>
      </w:r>
      <w:r>
        <w:rPr>
          <w:rFonts w:hint="eastAsia" w:ascii="仿宋_GB2312" w:hAnsi="宋体" w:eastAsia="仿宋_GB2312"/>
          <w:sz w:val="32"/>
          <w:szCs w:val="32"/>
        </w:rPr>
        <w:t>万元，主要包括基本工资</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6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r>
        <w:rPr>
          <w:rFonts w:hint="eastAsia" w:ascii="仿宋_GB2312" w:hAnsi="宋体" w:eastAsia="仿宋_GB2312"/>
          <w:sz w:val="32"/>
          <w:szCs w:val="32"/>
          <w:lang w:val="en-US" w:eastAsia="zh-CN"/>
        </w:rPr>
        <w:t>与年初预算数、上年数保持一致。</w:t>
      </w:r>
      <w:bookmarkStart w:id="0" w:name="_GoBack"/>
      <w:bookmarkEnd w:id="0"/>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hAnsi="黑体"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hAnsi="黑体"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hAnsi="黑体"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hAnsi="黑体"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hAnsi="黑体"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hAnsi="黑体"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hAnsi="黑体"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
      <w:pPr>
        <w:keepNext w:val="0"/>
        <w:keepLines w:val="0"/>
        <w:widowControl/>
        <w:numPr>
          <w:ilvl w:val="0"/>
          <w:numId w:val="3"/>
        </w:numPr>
        <w:suppressLineNumbers w:val="0"/>
        <w:spacing w:before="0" w:beforeAutospacing="0" w:after="0" w:afterAutospacing="0" w:line="540" w:lineRule="exact"/>
        <w:ind w:left="0" w:right="0" w:firstLine="643" w:firstLineChars="200"/>
        <w:jc w:val="left"/>
        <w:rPr>
          <w:rFonts w:ascii="楷体_GB2312" w:hAnsi="宋体" w:eastAsia="楷体_GB2312" w:cs="楷体_GB2312"/>
          <w:b/>
          <w:color w:val="auto"/>
          <w:kern w:val="2"/>
          <w:sz w:val="32"/>
          <w:szCs w:val="32"/>
          <w:highlight w:val="none"/>
          <w:shd w:val="clear" w:color="auto" w:fill="auto"/>
          <w:lang w:val="en-US" w:eastAsia="zh-CN" w:bidi="ar"/>
        </w:rPr>
      </w:pPr>
      <w:r>
        <w:rPr>
          <w:rFonts w:ascii="楷体_GB2312" w:hAnsi="宋体" w:eastAsia="楷体_GB2312" w:cs="楷体_GB2312"/>
          <w:b/>
          <w:color w:val="auto"/>
          <w:kern w:val="2"/>
          <w:sz w:val="32"/>
          <w:szCs w:val="32"/>
          <w:highlight w:val="none"/>
          <w:shd w:val="clear" w:color="auto" w:fill="auto"/>
          <w:lang w:val="en-US" w:eastAsia="zh-CN" w:bidi="ar"/>
        </w:rPr>
        <w:t>预算绩效情况。</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二级预算单位，绩效考评并入卫健局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numPr>
          <w:ilvl w:val="0"/>
          <w:numId w:val="4"/>
        </w:numPr>
        <w:rPr>
          <w:rFonts w:hint="eastAsia" w:ascii="宋体" w:hAnsi="宋体"/>
          <w:b/>
          <w:sz w:val="52"/>
          <w:szCs w:val="52"/>
        </w:rPr>
      </w:pPr>
      <w:r>
        <w:rPr>
          <w:rFonts w:hint="eastAsia" w:ascii="宋体" w:hAnsi="宋体"/>
          <w:b/>
          <w:sz w:val="52"/>
          <w:szCs w:val="52"/>
          <w:lang w:eastAsia="zh-CN"/>
        </w:rPr>
        <w:t>2021</w:t>
      </w:r>
      <w:r>
        <w:rPr>
          <w:rFonts w:hint="eastAsia" w:ascii="宋体" w:hAnsi="宋体"/>
          <w:b/>
          <w:sz w:val="52"/>
          <w:szCs w:val="52"/>
        </w:rPr>
        <w:t>年度部门决算表</w:t>
      </w: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5"/>
        <w:gridCol w:w="476"/>
        <w:gridCol w:w="606"/>
        <w:gridCol w:w="2392"/>
        <w:gridCol w:w="476"/>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032"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2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42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5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03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2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42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5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653"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收入</w:t>
            </w:r>
          </w:p>
        </w:tc>
        <w:tc>
          <w:tcPr>
            <w:tcW w:w="2346"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行次</w:t>
            </w:r>
          </w:p>
        </w:tc>
        <w:tc>
          <w:tcPr>
            <w:tcW w:w="3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w:t>
            </w: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行次</w:t>
            </w:r>
          </w:p>
        </w:tc>
        <w:tc>
          <w:tcPr>
            <w:tcW w:w="6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265"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265"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65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一、一般公共预算财政拨款收入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一、一般公共服务支出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二、政府性基金预算财政拨款收入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二、外交支出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三、国有资本经营预算财政拨款收入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三、国防支出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四、上级补助收入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四、公共安全支出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35</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五、事业收入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333.33</w:t>
            </w: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五、教育支出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36</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六、经营收入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六、科学技术支出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37</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七、附属单位上缴收入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七、文化旅游体育与传媒支出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八、其他收入</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八、社会保障和就业支出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九、卫生健康支出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w:t>
            </w:r>
          </w:p>
        </w:tc>
        <w:tc>
          <w:tcPr>
            <w:tcW w:w="6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十、节能环保支出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41</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十一、城乡社区支出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十二、农林水支出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43</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十三、交通运输支出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44</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十四、资源勘探工业信息等支出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十五、商业服务业等支出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46</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十六、金融支出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47</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十七、援助其他地区支出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48</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十八、自然资源海洋气象等支出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49</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19</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十九、住房保障支出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二十、粮油物资储备支出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51</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二十一、国有资本经营预算支出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52</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二十二、灾害防治及应急管理支出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二十三、其他支出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54</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二十四、债务还本支出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二十五、债务付息支出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56</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26</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二十六、抗疫特别国债安排的支出</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57</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本年收入合计</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本年支出合计</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w:t>
            </w:r>
          </w:p>
        </w:tc>
        <w:tc>
          <w:tcPr>
            <w:tcW w:w="6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使用非财政拨款结余</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结余分配</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年初结转和结余</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年末结转和结余</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w:t>
            </w:r>
          </w:p>
        </w:tc>
        <w:tc>
          <w:tcPr>
            <w:tcW w:w="6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w:t>
            </w: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424"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61</w:t>
            </w:r>
          </w:p>
        </w:tc>
        <w:tc>
          <w:tcPr>
            <w:tcW w:w="65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03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总计</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14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总计</w:t>
            </w:r>
          </w:p>
        </w:tc>
        <w:tc>
          <w:tcPr>
            <w:tcW w:w="26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w:t>
            </w:r>
          </w:p>
        </w:tc>
        <w:tc>
          <w:tcPr>
            <w:tcW w:w="6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r>
    </w:tbl>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0"/>
        <w:gridCol w:w="221"/>
        <w:gridCol w:w="221"/>
        <w:gridCol w:w="1286"/>
        <w:gridCol w:w="576"/>
        <w:gridCol w:w="516"/>
        <w:gridCol w:w="335"/>
        <w:gridCol w:w="576"/>
        <w:gridCol w:w="335"/>
        <w:gridCol w:w="336"/>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867"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1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6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0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86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1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64"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6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0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3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本年收入合计</w:t>
            </w:r>
          </w:p>
        </w:tc>
        <w:tc>
          <w:tcPr>
            <w:tcW w:w="28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财政拨款收入</w:t>
            </w:r>
          </w:p>
        </w:tc>
        <w:tc>
          <w:tcPr>
            <w:tcW w:w="16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上级补助收入</w:t>
            </w:r>
          </w:p>
        </w:tc>
        <w:tc>
          <w:tcPr>
            <w:tcW w:w="33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事业收入</w:t>
            </w:r>
          </w:p>
        </w:tc>
        <w:tc>
          <w:tcPr>
            <w:tcW w:w="16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经营收入</w:t>
            </w:r>
          </w:p>
        </w:tc>
        <w:tc>
          <w:tcPr>
            <w:tcW w:w="16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附属单位上缴收入</w:t>
            </w:r>
          </w:p>
        </w:tc>
        <w:tc>
          <w:tcPr>
            <w:tcW w:w="60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功能分类科目编码</w:t>
            </w:r>
          </w:p>
        </w:tc>
        <w:tc>
          <w:tcPr>
            <w:tcW w:w="81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3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28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81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28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81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28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3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6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3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2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16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3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16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16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6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946"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345.33</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12.00</w:t>
            </w: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333.33</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w:t>
            </w:r>
          </w:p>
        </w:tc>
        <w:tc>
          <w:tcPr>
            <w:tcW w:w="8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卫生健康支出</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333.33</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21004</w:t>
            </w:r>
          </w:p>
        </w:tc>
        <w:tc>
          <w:tcPr>
            <w:tcW w:w="8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公共卫生</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333.33</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2100408</w:t>
            </w:r>
          </w:p>
        </w:tc>
        <w:tc>
          <w:tcPr>
            <w:tcW w:w="8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基本公共卫生服务</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333.33</w:t>
            </w: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1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1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1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1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28"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1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6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28"/>
        <w:gridCol w:w="222"/>
        <w:gridCol w:w="222"/>
        <w:gridCol w:w="1346"/>
        <w:gridCol w:w="596"/>
        <w:gridCol w:w="596"/>
        <w:gridCol w:w="533"/>
        <w:gridCol w:w="342"/>
        <w:gridCol w:w="342"/>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935"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4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0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93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4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4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0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34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本年支出合计</w:t>
            </w:r>
          </w:p>
        </w:tc>
        <w:tc>
          <w:tcPr>
            <w:tcW w:w="34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基本支出</w:t>
            </w:r>
          </w:p>
        </w:tc>
        <w:tc>
          <w:tcPr>
            <w:tcW w:w="30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项目支出</w:t>
            </w:r>
          </w:p>
        </w:tc>
        <w:tc>
          <w:tcPr>
            <w:tcW w:w="1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上缴上级支出</w:t>
            </w:r>
          </w:p>
        </w:tc>
        <w:tc>
          <w:tcPr>
            <w:tcW w:w="1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经营支出</w:t>
            </w:r>
          </w:p>
        </w:tc>
        <w:tc>
          <w:tcPr>
            <w:tcW w:w="62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9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功能分类科目编码</w:t>
            </w:r>
          </w:p>
        </w:tc>
        <w:tc>
          <w:tcPr>
            <w:tcW w:w="84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9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84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9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84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2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04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4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30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1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1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62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04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345.33</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333.14</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12.19</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w:t>
            </w:r>
          </w:p>
        </w:tc>
        <w:tc>
          <w:tcPr>
            <w:tcW w:w="8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卫生健康支出</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333.14</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12.19</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21004</w:t>
            </w:r>
          </w:p>
        </w:tc>
        <w:tc>
          <w:tcPr>
            <w:tcW w:w="8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公共卫生</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333.14</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12.19</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2100408</w:t>
            </w:r>
          </w:p>
        </w:tc>
        <w:tc>
          <w:tcPr>
            <w:tcW w:w="84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基本公共卫生服务</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345.33</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333.14</w:t>
            </w:r>
          </w:p>
        </w:tc>
        <w:tc>
          <w:tcPr>
            <w:tcW w:w="3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12.19</w:t>
            </w: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4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4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4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4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19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84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tbl>
      <w:tblPr>
        <w:tblStyle w:val="3"/>
        <w:tblpPr w:leftFromText="180" w:rightFromText="180" w:vertAnchor="text" w:horzAnchor="page" w:tblpX="2030" w:tblpY="197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0"/>
        <w:gridCol w:w="332"/>
        <w:gridCol w:w="507"/>
        <w:gridCol w:w="1962"/>
        <w:gridCol w:w="332"/>
        <w:gridCol w:w="507"/>
        <w:gridCol w:w="507"/>
        <w:gridCol w:w="333"/>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469"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7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1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3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7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3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4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469"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7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1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23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7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3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4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11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收     入</w:t>
            </w:r>
          </w:p>
        </w:tc>
        <w:tc>
          <w:tcPr>
            <w:tcW w:w="2883"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行次</w:t>
            </w:r>
          </w:p>
        </w:tc>
        <w:tc>
          <w:tcPr>
            <w:tcW w:w="4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w:t>
            </w:r>
          </w:p>
        </w:tc>
        <w:tc>
          <w:tcPr>
            <w:tcW w:w="111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行次</w:t>
            </w:r>
          </w:p>
        </w:tc>
        <w:tc>
          <w:tcPr>
            <w:tcW w:w="238"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47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一般公共预算财政拨款</w:t>
            </w:r>
          </w:p>
        </w:tc>
        <w:tc>
          <w:tcPr>
            <w:tcW w:w="33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政府性基金预算财政拨款</w:t>
            </w:r>
          </w:p>
        </w:tc>
        <w:tc>
          <w:tcPr>
            <w:tcW w:w="54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4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11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238"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47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3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54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17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23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47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5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一、一般公共服务支出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33</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二、外交支出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三、国有资本经营财政拨款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三、国防支出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35</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四、公共安全支出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36</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五、教育支出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37</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六、科学技术支出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七、文化旅游体育与传媒支出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八、社会保障和就业支出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40</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九、卫生健康支出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41</w:t>
            </w: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十、节能环保支出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42</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11</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十一、城乡社区支出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43</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十二、农林水支出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44</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13</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十三、交通运输支出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45</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14</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十四、资源勘探工业信息等支出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46</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15</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十五、商业服务业等支出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47</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16</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十六、金融支出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48</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十七、援助其他地区支出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49</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十八、自然资源海洋气象等支出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50</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19</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十九、住房保障支出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51</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二十、粮油物资储备支出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52</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二十一、国有资本经营预算支出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53</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22</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二十二、灾害防治及应急管理支出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54</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23</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二十三、其他支出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55</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24</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二十四、债务还本支出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56</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25</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二十五、债务付息支出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57</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26</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二十六、抗疫特别国债安排的支出</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58</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本年收入合计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27</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本年支出合计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59</w:t>
            </w: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28</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年末财政拨款结转和结余</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60</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一般公共预算财政拨款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29</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61</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政府性基金预算财政拨款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62</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国有资本经营预算财政拨款</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w:t>
            </w: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11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63</w:t>
            </w:r>
          </w:p>
        </w:tc>
        <w:tc>
          <w:tcPr>
            <w:tcW w:w="23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7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69"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32</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111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总计</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64</w:t>
            </w:r>
          </w:p>
        </w:tc>
        <w:tc>
          <w:tcPr>
            <w:tcW w:w="2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4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3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5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1"/>
        <w:gridCol w:w="222"/>
        <w:gridCol w:w="222"/>
        <w:gridCol w:w="1698"/>
        <w:gridCol w:w="614"/>
        <w:gridCol w:w="615"/>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272"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99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7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27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995"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6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6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74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52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1471"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3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功能分类科目编码</w:t>
            </w:r>
          </w:p>
        </w:tc>
        <w:tc>
          <w:tcPr>
            <w:tcW w:w="99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3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小计</w:t>
            </w:r>
          </w:p>
        </w:tc>
        <w:tc>
          <w:tcPr>
            <w:tcW w:w="36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基本支出</w:t>
            </w:r>
          </w:p>
        </w:tc>
        <w:tc>
          <w:tcPr>
            <w:tcW w:w="74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253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99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6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7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3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99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6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74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2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3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74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52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12.00</w:t>
            </w: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w:t>
            </w:r>
          </w:p>
        </w:tc>
        <w:tc>
          <w:tcPr>
            <w:tcW w:w="9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卫生健康支出</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21004</w:t>
            </w:r>
          </w:p>
        </w:tc>
        <w:tc>
          <w:tcPr>
            <w:tcW w:w="9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公共卫生</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2100408</w:t>
            </w:r>
          </w:p>
        </w:tc>
        <w:tc>
          <w:tcPr>
            <w:tcW w:w="9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基本公共卫生服务</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3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9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9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9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9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3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99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7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1398"/>
        <w:gridCol w:w="413"/>
        <w:gridCol w:w="413"/>
        <w:gridCol w:w="1004"/>
        <w:gridCol w:w="295"/>
        <w:gridCol w:w="413"/>
        <w:gridCol w:w="1713"/>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211"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92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9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9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3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9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21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921"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9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9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32"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97"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1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33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人员经费</w:t>
            </w:r>
          </w:p>
        </w:tc>
        <w:tc>
          <w:tcPr>
            <w:tcW w:w="2669"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科目编码</w:t>
            </w:r>
          </w:p>
        </w:tc>
        <w:tc>
          <w:tcPr>
            <w:tcW w:w="92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1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c>
          <w:tcPr>
            <w:tcW w:w="1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科目编码</w:t>
            </w:r>
          </w:p>
        </w:tc>
        <w:tc>
          <w:tcPr>
            <w:tcW w:w="63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13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c>
          <w:tcPr>
            <w:tcW w:w="1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科目编码</w:t>
            </w:r>
          </w:p>
        </w:tc>
        <w:tc>
          <w:tcPr>
            <w:tcW w:w="11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35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92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3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3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11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工资福利支出</w:t>
            </w:r>
          </w:p>
        </w:tc>
        <w:tc>
          <w:tcPr>
            <w:tcW w:w="1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8.12</w:t>
            </w: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商品和服务支出</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307</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债务利息及费用支出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30101</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基本工资</w:t>
            </w:r>
          </w:p>
        </w:tc>
        <w:tc>
          <w:tcPr>
            <w:tcW w:w="1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8.12</w:t>
            </w: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30201</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办公费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30701</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国内债务付息</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30102</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津贴补贴</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30202</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印刷费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30702</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国外债务付息</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30103</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奖金</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30203</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咨询费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资本性支出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30106</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伙食补助费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30204</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手续费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31001</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房屋建筑物购建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30107</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绩效工资</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30205</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水费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31002</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办公设备购置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30108</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机关事业单位基本养老保险缴费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30206</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电费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31003</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专用设备购置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30109</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职业年金缴费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30207</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邮电费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31005</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基础设施建设</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30110</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职工基本医疗保险缴费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30208</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取暖费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31006</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大型修缮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30111</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公务员医疗补助缴费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30209</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物业管理费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31007</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信息网络及软件购置更新</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30112</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其他社会保障缴费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30211</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差旅费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31008</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物资储备</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30113</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住房公积金</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30212</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因公出国（境）费用</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31009</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土地补偿</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30114</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医疗费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30213</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维修（护）费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31010</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安置补助</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30199</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其他工资福利支出</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30214</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租赁费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31011</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地上附着物和青苗补偿</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对个人和家庭的补助</w:t>
            </w:r>
          </w:p>
        </w:tc>
        <w:tc>
          <w:tcPr>
            <w:tcW w:w="1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3.88</w:t>
            </w: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30215</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会议费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31012</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拆迁补偿</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30301</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离休费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30216</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培训费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31013</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公务用车购置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30302</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退休费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30217</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公务接待费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31019</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其他交通工具购置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30303</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退职（役）费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30218</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专用材料费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31021</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文物和陈列品购置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30304</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抚恤金</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30224</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被装购置费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31022</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无形资产购置</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30305</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生活补助</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30225</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专用燃料费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31099</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其他资本性支出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30306</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救济费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30226</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劳务费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312</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对企业补助</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30307</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医疗费补助</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30227</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委托业务费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31201</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资本金注入</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30308</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助学金</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30228</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工会经费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31203</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政府投资基金股权投资</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30309</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奖励金</w:t>
            </w:r>
          </w:p>
        </w:tc>
        <w:tc>
          <w:tcPr>
            <w:tcW w:w="1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3.88</w:t>
            </w: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30229</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福利费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31204</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费用补贴</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30310</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个人农业生产补贴</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30231</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公务用车运行维护费</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31205</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利息补贴</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30311</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代缴社会保险费</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30239</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其他交通费用</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31299</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其他对企业补助</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30399</w:t>
            </w:r>
          </w:p>
        </w:tc>
        <w:tc>
          <w:tcPr>
            <w:tcW w:w="92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其他对个人和家庭的补助</w:t>
            </w: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30240</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税金及附加费用</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其他支出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92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30299</w:t>
            </w:r>
          </w:p>
        </w:tc>
        <w:tc>
          <w:tcPr>
            <w:tcW w:w="63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其他商品和服务支出</w:t>
            </w:r>
          </w:p>
        </w:tc>
        <w:tc>
          <w:tcPr>
            <w:tcW w:w="1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39906</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赠与</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92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63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39907</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国家赔偿费用支出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92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63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39908</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对民间非营利组织和群众性自治组织补贴</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21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92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632"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3"/>
                <w:szCs w:val="13"/>
                <w:u w:val="none"/>
              </w:rPr>
            </w:pPr>
          </w:p>
        </w:tc>
        <w:tc>
          <w:tcPr>
            <w:tcW w:w="130"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1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39999</w:t>
            </w:r>
          </w:p>
        </w:tc>
        <w:tc>
          <w:tcPr>
            <w:tcW w:w="11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其他支出</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133"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人员经费合计</w:t>
            </w:r>
          </w:p>
        </w:tc>
        <w:tc>
          <w:tcPr>
            <w:tcW w:w="1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12.00</w:t>
            </w:r>
          </w:p>
        </w:tc>
        <w:tc>
          <w:tcPr>
            <w:tcW w:w="2310" w:type="pct"/>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公用经费合计</w:t>
            </w:r>
          </w:p>
        </w:tc>
        <w:tc>
          <w:tcPr>
            <w:tcW w:w="3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4"/>
        <w:gridCol w:w="1016"/>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376"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376"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部门名称:辽宁省本溪市明山区卧龙街道社区卫生服务中心</w:t>
            </w:r>
          </w:p>
        </w:tc>
        <w:tc>
          <w:tcPr>
            <w:tcW w:w="596"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项    目</w:t>
            </w:r>
          </w:p>
        </w:tc>
        <w:tc>
          <w:tcPr>
            <w:tcW w:w="596" w:type="pc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预算数</w:t>
            </w:r>
          </w:p>
        </w:tc>
        <w:tc>
          <w:tcPr>
            <w:tcW w:w="1027" w:type="pc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合    计</w:t>
            </w:r>
          </w:p>
        </w:tc>
        <w:tc>
          <w:tcPr>
            <w:tcW w:w="5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1、因公出国（境）费</w:t>
            </w:r>
          </w:p>
        </w:tc>
        <w:tc>
          <w:tcPr>
            <w:tcW w:w="5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2、公务接待费</w:t>
            </w:r>
          </w:p>
        </w:tc>
        <w:tc>
          <w:tcPr>
            <w:tcW w:w="5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3、公务用车购置及运行费</w:t>
            </w:r>
          </w:p>
        </w:tc>
        <w:tc>
          <w:tcPr>
            <w:tcW w:w="5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其中: （1）公务用车运行维护费</w:t>
            </w:r>
          </w:p>
        </w:tc>
        <w:tc>
          <w:tcPr>
            <w:tcW w:w="5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376"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（2）公务用车购置费</w:t>
            </w:r>
          </w:p>
        </w:tc>
        <w:tc>
          <w:tcPr>
            <w:tcW w:w="59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222"/>
        <w:gridCol w:w="222"/>
        <w:gridCol w:w="736"/>
        <w:gridCol w:w="559"/>
        <w:gridCol w:w="580"/>
        <w:gridCol w:w="580"/>
        <w:gridCol w:w="580"/>
        <w:gridCol w:w="580"/>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925"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2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2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192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2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353"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62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0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35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年初结转和结余</w:t>
            </w:r>
          </w:p>
        </w:tc>
        <w:tc>
          <w:tcPr>
            <w:tcW w:w="35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本年收入</w:t>
            </w:r>
          </w:p>
        </w:tc>
        <w:tc>
          <w:tcPr>
            <w:tcW w:w="1059"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本年支出</w:t>
            </w:r>
          </w:p>
        </w:tc>
        <w:tc>
          <w:tcPr>
            <w:tcW w:w="62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8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功能分类科目编码</w:t>
            </w:r>
          </w:p>
        </w:tc>
        <w:tc>
          <w:tcPr>
            <w:tcW w:w="42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35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小计</w:t>
            </w:r>
          </w:p>
        </w:tc>
        <w:tc>
          <w:tcPr>
            <w:tcW w:w="3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基本支出</w:t>
            </w:r>
          </w:p>
        </w:tc>
        <w:tc>
          <w:tcPr>
            <w:tcW w:w="35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项目支出</w:t>
            </w:r>
          </w:p>
        </w:tc>
        <w:tc>
          <w:tcPr>
            <w:tcW w:w="62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8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42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2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8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42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35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62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0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3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3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3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c>
          <w:tcPr>
            <w:tcW w:w="3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35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w:t>
            </w:r>
          </w:p>
        </w:tc>
        <w:tc>
          <w:tcPr>
            <w:tcW w:w="62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0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8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8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8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8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18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18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35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6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p>
      <w:pPr>
        <w:widowControl w:val="0"/>
        <w:numPr>
          <w:ilvl w:val="0"/>
          <w:numId w:val="0"/>
        </w:numPr>
        <w:jc w:val="both"/>
        <w:rPr>
          <w:rFonts w:hint="eastAsia" w:ascii="宋体" w:hAnsi="宋体"/>
          <w:b/>
          <w:sz w:val="52"/>
          <w:szCs w:val="5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9"/>
        <w:gridCol w:w="222"/>
        <w:gridCol w:w="222"/>
        <w:gridCol w:w="903"/>
        <w:gridCol w:w="849"/>
        <w:gridCol w:w="767"/>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423" w:type="pct"/>
            <w:tcBorders>
              <w:top w:val="nil"/>
              <w:left w:val="nil"/>
              <w:bottom w:val="nil"/>
              <w:right w:val="nil"/>
            </w:tcBorders>
            <w:shd w:val="clear" w:color="auto" w:fill="auto"/>
            <w:noWrap/>
            <w:vAlign w:val="bottom"/>
          </w:tcPr>
          <w:p>
            <w:pPr>
              <w:rPr>
                <w:rFonts w:hint="eastAsia"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29"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9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3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42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部门：辽宁省本溪市明山区卧龙街道社区卫生服务中心</w:t>
            </w: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13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529"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98"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450" w:type="pct"/>
            <w:tcBorders>
              <w:top w:val="nil"/>
              <w:left w:val="nil"/>
              <w:bottom w:val="nil"/>
              <w:right w:val="nil"/>
            </w:tcBorders>
            <w:shd w:val="clear" w:color="auto" w:fill="auto"/>
            <w:noWrap/>
            <w:vAlign w:val="bottom"/>
          </w:tcPr>
          <w:p>
            <w:pPr>
              <w:rPr>
                <w:rFonts w:hint="default" w:ascii="Arial" w:hAnsi="Arial" w:cs="Arial"/>
                <w:i w:val="0"/>
                <w:iCs w:val="0"/>
                <w:color w:val="000000"/>
                <w:sz w:val="13"/>
                <w:szCs w:val="13"/>
                <w:u w:val="none"/>
              </w:rPr>
            </w:pPr>
          </w:p>
        </w:tc>
        <w:tc>
          <w:tcPr>
            <w:tcW w:w="83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21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w:t>
            </w:r>
          </w:p>
        </w:tc>
        <w:tc>
          <w:tcPr>
            <w:tcW w:w="1786"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83"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功能分类科目编码</w:t>
            </w:r>
          </w:p>
        </w:tc>
        <w:tc>
          <w:tcPr>
            <w:tcW w:w="52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科目名称</w:t>
            </w:r>
          </w:p>
        </w:tc>
        <w:tc>
          <w:tcPr>
            <w:tcW w:w="49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45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基本支出</w:t>
            </w:r>
          </w:p>
        </w:tc>
        <w:tc>
          <w:tcPr>
            <w:tcW w:w="83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83"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5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49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45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83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683"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5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3"/>
                <w:szCs w:val="13"/>
                <w:u w:val="none"/>
              </w:rPr>
            </w:pPr>
          </w:p>
        </w:tc>
        <w:tc>
          <w:tcPr>
            <w:tcW w:w="49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45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c>
          <w:tcPr>
            <w:tcW w:w="83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21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栏次</w:t>
            </w:r>
          </w:p>
        </w:tc>
        <w:tc>
          <w:tcPr>
            <w:tcW w:w="49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w:t>
            </w:r>
          </w:p>
        </w:tc>
        <w:tc>
          <w:tcPr>
            <w:tcW w:w="45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83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21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w:t>
            </w: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8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5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8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5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8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5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8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5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268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5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8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5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3"/>
                <w:szCs w:val="13"/>
                <w:u w:val="none"/>
              </w:rPr>
            </w:pPr>
          </w:p>
        </w:tc>
        <w:tc>
          <w:tcPr>
            <w:tcW w:w="4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45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c>
          <w:tcPr>
            <w:tcW w:w="83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3"/>
                <w:szCs w:val="13"/>
                <w:u w:val="none"/>
              </w:rPr>
            </w:pPr>
          </w:p>
        </w:tc>
      </w:tr>
    </w:tbl>
    <w:p>
      <w:pPr>
        <w:widowControl w:val="0"/>
        <w:numPr>
          <w:ilvl w:val="0"/>
          <w:numId w:val="0"/>
        </w:numPr>
        <w:jc w:val="both"/>
        <w:rPr>
          <w:rFonts w:hint="eastAsia" w:ascii="宋体" w:hAnsi="宋体"/>
          <w:b/>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1EFD8"/>
    <w:multiLevelType w:val="singleLevel"/>
    <w:tmpl w:val="A7B1EFD8"/>
    <w:lvl w:ilvl="0" w:tentative="0">
      <w:start w:val="4"/>
      <w:numFmt w:val="chineseCounting"/>
      <w:suff w:val="space"/>
      <w:lvlText w:val="第%1部分"/>
      <w:lvlJc w:val="left"/>
      <w:rPr>
        <w:rFonts w:hint="eastAsia"/>
      </w:rPr>
    </w:lvl>
  </w:abstractNum>
  <w:abstractNum w:abstractNumId="1">
    <w:nsid w:val="C9383DAF"/>
    <w:multiLevelType w:val="singleLevel"/>
    <w:tmpl w:val="C9383DAF"/>
    <w:lvl w:ilvl="0" w:tentative="0">
      <w:start w:val="1"/>
      <w:numFmt w:val="chineseCounting"/>
      <w:suff w:val="nothing"/>
      <w:lvlText w:val="%1、"/>
      <w:lvlJc w:val="left"/>
      <w:rPr>
        <w:rFonts w:hint="eastAsia"/>
      </w:rPr>
    </w:lvl>
  </w:abstractNum>
  <w:abstractNum w:abstractNumId="2">
    <w:nsid w:val="1124E3A2"/>
    <w:multiLevelType w:val="singleLevel"/>
    <w:tmpl w:val="1124E3A2"/>
    <w:lvl w:ilvl="0" w:tentative="0">
      <w:start w:val="3"/>
      <w:numFmt w:val="chineseCounting"/>
      <w:suff w:val="nothing"/>
      <w:lvlText w:val="（%1）"/>
      <w:lvlJc w:val="left"/>
      <w:rPr>
        <w:rFonts w:hint="eastAsia"/>
      </w:rPr>
    </w:lvl>
  </w:abstractNum>
  <w:abstractNum w:abstractNumId="3">
    <w:nsid w:val="7E4576A7"/>
    <w:multiLevelType w:val="singleLevel"/>
    <w:tmpl w:val="7E4576A7"/>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ZDIwYmNlNDhhNjgzNGI5NDRlMjZiNjc4ZTAxYjMifQ=="/>
  </w:docVars>
  <w:rsids>
    <w:rsidRoot w:val="24544768"/>
    <w:rsid w:val="24544768"/>
    <w:rsid w:val="2EE54DA0"/>
    <w:rsid w:val="4CD1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4998</Words>
  <Characters>5898</Characters>
  <Lines>0</Lines>
  <Paragraphs>0</Paragraphs>
  <TotalTime>1</TotalTime>
  <ScaleCrop>false</ScaleCrop>
  <LinksUpToDate>false</LinksUpToDate>
  <CharactersWithSpaces>6092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2022-09-20T01:48:00Z</dcterms:created>
  <dc:creator>Administrator</dc:creator>
  <cp:lastModifiedBy>Administrator</cp:lastModifiedBy>
  <dcterms:modified xsi:type="dcterms:W3CDTF">2023-03-31T07:49:34Z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FC0336363AD845348BF8E13048601ADB</vt:lpwstr>
  </property>
</Properties>
</file>