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本次检验项目</w:t>
      </w:r>
    </w:p>
    <w:p>
      <w:pPr>
        <w:adjustRightInd w:val="0"/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numPr>
          <w:ilvl w:val="0"/>
          <w:numId w:val="1"/>
        </w:numPr>
        <w:adjustRightInd w:val="0"/>
        <w:spacing w:line="60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食用农产品</w:t>
      </w:r>
    </w:p>
    <w:p>
      <w:pPr>
        <w:numPr>
          <w:ilvl w:val="0"/>
          <w:numId w:val="2"/>
        </w:numPr>
        <w:adjustRightInd w:val="0"/>
        <w:spacing w:line="600" w:lineRule="exact"/>
        <w:ind w:left="8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抽检依据</w:t>
      </w:r>
    </w:p>
    <w:p>
      <w:pPr>
        <w:adjustRightInd w:val="0"/>
        <w:spacing w:line="600" w:lineRule="exact"/>
        <w:ind w:firstLine="640" w:firstLineChars="200"/>
        <w:rPr>
          <w:rFonts w:ascii="仿宋_GB2312" w:hAnsi="Arial" w:eastAsia="仿宋_GB2312" w:cs="Arial"/>
          <w:sz w:val="32"/>
          <w:szCs w:val="32"/>
        </w:rPr>
      </w:pPr>
      <w:r>
        <w:rPr>
          <w:rFonts w:hint="eastAsia" w:ascii="仿宋_GB2312" w:hAnsi="Arial" w:eastAsia="仿宋_GB2312" w:cs="Arial"/>
          <w:sz w:val="32"/>
          <w:szCs w:val="32"/>
        </w:rPr>
        <w:t>抽检依据是GB 2762-2017《食品安全国家标准 食品中污染物限量》、GB 2763-2021《食品安全国家标准 食品中农药最大残留限量》、GB 31650.1-2022《食品安全国家标准 食品中41种兽药最大残留限量》、GB 31650-2019《食品安全国家标准 食品中兽药最大残留限量》、农业农村部公告 第250号《食品动物中禁止使用的药品及其他化合物清单》、整顿办函[2010]50号《食品中可能违法添加的非食用物质和易滥用的食品添加剂名单(第四批)》、</w:t>
      </w:r>
      <w:r>
        <w:rPr>
          <w:rFonts w:ascii="仿宋_GB2312" w:hAnsi="Arial" w:eastAsia="仿宋_GB2312" w:cs="Arial"/>
          <w:sz w:val="32"/>
          <w:szCs w:val="32"/>
        </w:rPr>
        <w:t>GB 22556-2008《豆芽卫生标准》</w:t>
      </w:r>
      <w:r>
        <w:rPr>
          <w:rFonts w:hint="eastAsia" w:ascii="仿宋_GB2312" w:hAnsi="Arial" w:eastAsia="仿宋_GB2312" w:cs="Arial"/>
          <w:sz w:val="32"/>
          <w:szCs w:val="32"/>
        </w:rPr>
        <w:t>、</w:t>
      </w:r>
      <w:r>
        <w:rPr>
          <w:rFonts w:ascii="仿宋_GB2312" w:hAnsi="Arial" w:eastAsia="仿宋_GB2312" w:cs="Arial"/>
          <w:sz w:val="32"/>
          <w:szCs w:val="32"/>
        </w:rPr>
        <w:t>国家食品药品监督管理总局 农业部 国家卫生和计划生 育委员会关于豆芽生产过程中禁止使用 6-苄基腺嘌呤等物质的公告(2015 年第 11 号)</w:t>
      </w:r>
      <w:r>
        <w:rPr>
          <w:rFonts w:hint="eastAsia" w:ascii="仿宋_GB2312" w:hAnsi="Arial" w:eastAsia="仿宋_GB2312" w:cs="Arial"/>
          <w:sz w:val="32"/>
          <w:szCs w:val="32"/>
        </w:rPr>
        <w:t>。</w:t>
      </w:r>
    </w:p>
    <w:p>
      <w:pPr>
        <w:adjustRightInd w:val="0"/>
        <w:spacing w:line="600" w:lineRule="exact"/>
        <w:ind w:firstLine="643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（二）</w:t>
      </w:r>
      <w:r>
        <w:rPr>
          <w:rFonts w:hint="eastAsia" w:ascii="黑体" w:hAnsi="黑体" w:eastAsia="黑体"/>
          <w:sz w:val="32"/>
          <w:szCs w:val="32"/>
        </w:rPr>
        <w:t>检验项目</w:t>
      </w:r>
    </w:p>
    <w:p>
      <w:pPr>
        <w:ind w:firstLine="640" w:firstLineChars="200"/>
        <w:rPr>
          <w:rFonts w:ascii="仿宋_GB2312" w:hAnsi="Arial" w:eastAsia="仿宋_GB2312" w:cs="Arial"/>
          <w:sz w:val="32"/>
          <w:szCs w:val="32"/>
        </w:rPr>
      </w:pPr>
      <w:r>
        <w:rPr>
          <w:rFonts w:hint="eastAsia" w:ascii="仿宋_GB2312" w:hAnsi="Arial" w:eastAsia="仿宋_GB2312" w:cs="Arial"/>
          <w:sz w:val="32"/>
          <w:szCs w:val="32"/>
        </w:rPr>
        <w:t>百菌清、苯醚甲环唑、吡虫啉、吡唑醚菌酯、丙溴磷、地塞米松、地西泮、敌敌畏、啶虫脒、毒死蜱、多菌灵、多西环素、恩诺沙星、呋喃它酮代谢物、呋喃唑酮代谢物、氟苯尼考、镉（以Cd计）、</w:t>
      </w:r>
      <w:r>
        <w:rPr>
          <w:rFonts w:ascii="仿宋_GB2312" w:hAnsi="Arial" w:eastAsia="仿宋_GB2312" w:cs="Arial"/>
          <w:sz w:val="32"/>
          <w:szCs w:val="32"/>
        </w:rPr>
        <w:t>总汞(以Hg计)</w:t>
      </w:r>
      <w:r>
        <w:rPr>
          <w:rFonts w:hint="eastAsia" w:ascii="仿宋_GB2312" w:hAnsi="Arial" w:eastAsia="仿宋_GB2312" w:cs="Arial"/>
          <w:sz w:val="32"/>
          <w:szCs w:val="32"/>
        </w:rPr>
        <w:t>、</w:t>
      </w:r>
      <w:r>
        <w:rPr>
          <w:rFonts w:ascii="仿宋_GB2312" w:hAnsi="Arial" w:eastAsia="仿宋_GB2312" w:cs="Arial"/>
          <w:sz w:val="32"/>
          <w:szCs w:val="32"/>
        </w:rPr>
        <w:t>铅(以Pb计),</w:t>
      </w:r>
      <w:r>
        <w:rPr>
          <w:rFonts w:hint="eastAsia" w:ascii="仿宋_GB2312" w:hAnsi="Arial" w:eastAsia="仿宋_GB2312" w:cs="Arial"/>
          <w:sz w:val="32"/>
          <w:szCs w:val="32"/>
        </w:rPr>
        <w:t>、磺胺类（总量）、甲氨基阿维菌素苯甲酸盐、甲拌磷、甲硝唑、甲氧苄啶、克百威、克伦特罗、孔雀石绿、莱克多巴胺、氯霉素、氯唑磷、诺氟沙星、培氟沙星、噻虫胺、噻虫嗪、沙丁胺醇、沙拉沙星、水胺硫磷、五氯酚酸钠(以五氯酚计)、氧氟沙星、氧乐果、</w:t>
      </w:r>
      <w:r>
        <w:rPr>
          <w:rFonts w:ascii="仿宋_GB2312" w:hAnsi="Arial" w:eastAsia="仿宋_GB2312" w:cs="Arial"/>
          <w:sz w:val="32"/>
          <w:szCs w:val="32"/>
        </w:rPr>
        <w:t>亚硫酸盐(以SO</w:t>
      </w:r>
      <w:r>
        <w:rPr>
          <w:rFonts w:ascii="Cambria Math" w:hAnsi="Cambria Math" w:eastAsia="仿宋_GB2312" w:cs="Cambria Math"/>
          <w:sz w:val="32"/>
          <w:szCs w:val="32"/>
        </w:rPr>
        <w:t>₂</w:t>
      </w:r>
      <w:r>
        <w:rPr>
          <w:rFonts w:ascii="仿宋_GB2312" w:hAnsi="Arial" w:eastAsia="仿宋_GB2312" w:cs="Arial"/>
          <w:sz w:val="32"/>
          <w:szCs w:val="32"/>
        </w:rPr>
        <w:t>计)</w:t>
      </w:r>
      <w:r>
        <w:rPr>
          <w:rFonts w:hint="eastAsia" w:ascii="仿宋_GB2312" w:hAnsi="Arial" w:eastAsia="仿宋_GB2312" w:cs="Arial"/>
          <w:sz w:val="32"/>
          <w:szCs w:val="32"/>
        </w:rPr>
        <w:t>、</w:t>
      </w:r>
      <w:r>
        <w:rPr>
          <w:rFonts w:ascii="仿宋_GB2312" w:hAnsi="Arial" w:eastAsia="仿宋_GB2312" w:cs="Arial"/>
          <w:sz w:val="32"/>
          <w:szCs w:val="32"/>
        </w:rPr>
        <w:t>6-苄基腺嘌呤(6-BA)</w:t>
      </w:r>
      <w:r>
        <w:rPr>
          <w:rFonts w:hint="eastAsia" w:ascii="仿宋_GB2312" w:hAnsi="Arial" w:eastAsia="仿宋_GB2312" w:cs="Arial"/>
          <w:sz w:val="32"/>
          <w:szCs w:val="32"/>
        </w:rPr>
        <w:t>、</w:t>
      </w:r>
      <w:r>
        <w:rPr>
          <w:rFonts w:ascii="仿宋_GB2312" w:hAnsi="Arial" w:eastAsia="仿宋_GB2312" w:cs="Arial"/>
          <w:sz w:val="32"/>
          <w:szCs w:val="32"/>
        </w:rPr>
        <w:t>4-氯苯氧乙酸钠(以 4-氯苯氧乙酸计)</w:t>
      </w:r>
      <w:r>
        <w:rPr>
          <w:rFonts w:hint="eastAsia" w:ascii="仿宋_GB2312" w:hAnsi="Arial" w:eastAsia="仿宋_GB2312" w:cs="Arial"/>
          <w:sz w:val="32"/>
          <w:szCs w:val="32"/>
        </w:rPr>
        <w:t>。</w:t>
      </w:r>
    </w:p>
    <w:p>
      <w:pPr>
        <w:numPr>
          <w:ilvl w:val="0"/>
          <w:numId w:val="1"/>
        </w:numPr>
        <w:adjustRightInd w:val="0"/>
        <w:spacing w:line="60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粮食加工品</w:t>
      </w:r>
    </w:p>
    <w:p>
      <w:pPr>
        <w:adjustRightInd w:val="0"/>
        <w:spacing w:line="600" w:lineRule="exact"/>
        <w:ind w:left="8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（一）抽检依据</w:t>
      </w:r>
    </w:p>
    <w:p>
      <w:pPr>
        <w:adjustRightInd w:val="0"/>
        <w:spacing w:line="600" w:lineRule="exact"/>
        <w:ind w:firstLine="640" w:firstLineChars="200"/>
        <w:rPr>
          <w:rFonts w:hint="eastAsia" w:ascii="仿宋_GB2312" w:hAnsi="Arial" w:eastAsia="仿宋_GB2312" w:cs="Arial"/>
          <w:sz w:val="32"/>
          <w:szCs w:val="32"/>
        </w:rPr>
      </w:pPr>
      <w:r>
        <w:rPr>
          <w:rFonts w:hint="eastAsia" w:ascii="仿宋_GB2312" w:hAnsi="Arial" w:eastAsia="仿宋_GB2312" w:cs="Arial"/>
          <w:sz w:val="32"/>
          <w:szCs w:val="32"/>
        </w:rPr>
        <w:t>抽检依据是GB 2762-2017《食品安全国家标准 食品中污染物限量》、GB 2761-2017《食品安全国家标准 食品中真菌毒素限量》。</w:t>
      </w:r>
    </w:p>
    <w:p>
      <w:pPr>
        <w:numPr>
          <w:ilvl w:val="0"/>
          <w:numId w:val="2"/>
        </w:numPr>
        <w:adjustRightInd w:val="0"/>
        <w:spacing w:line="600" w:lineRule="exact"/>
        <w:ind w:left="800"/>
        <w:rPr>
          <w:rFonts w:ascii="楷体_GB2312" w:eastAsia="楷体_GB2312"/>
          <w:b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检验项目</w:t>
      </w:r>
    </w:p>
    <w:p>
      <w:pPr>
        <w:adjustRightInd w:val="0"/>
        <w:spacing w:line="600" w:lineRule="exact"/>
        <w:ind w:firstLine="640" w:firstLineChars="200"/>
        <w:rPr>
          <w:rFonts w:hint="eastAsia" w:ascii="仿宋_GB2312" w:hAnsi="Arial" w:eastAsia="仿宋_GB2312" w:cs="Arial"/>
          <w:sz w:val="32"/>
          <w:szCs w:val="32"/>
        </w:rPr>
      </w:pPr>
      <w:r>
        <w:rPr>
          <w:rFonts w:hint="eastAsia" w:ascii="仿宋_GB2312" w:hAnsi="Arial" w:eastAsia="仿宋_GB2312" w:cs="Arial"/>
          <w:sz w:val="32"/>
          <w:szCs w:val="32"/>
        </w:rPr>
        <w:t>无机砷（以As计）、黄曲霉毒素</w:t>
      </w:r>
      <w:r>
        <w:rPr>
          <w:rFonts w:ascii="仿宋_GB2312" w:hAnsi="Arial" w:eastAsia="仿宋_GB2312" w:cs="Arial"/>
          <w:sz w:val="32"/>
          <w:szCs w:val="32"/>
        </w:rPr>
        <w:t>B</w:t>
      </w:r>
      <w:r>
        <w:rPr>
          <w:rFonts w:ascii="Cambria Math" w:hAnsi="Cambria Math" w:eastAsia="仿宋_GB2312" w:cs="Cambria Math"/>
          <w:sz w:val="32"/>
          <w:szCs w:val="32"/>
        </w:rPr>
        <w:t>₁</w:t>
      </w:r>
      <w:r>
        <w:rPr>
          <w:rFonts w:hint="eastAsia" w:ascii="Cambria Math" w:hAnsi="Cambria Math" w:eastAsia="仿宋_GB2312" w:cs="Cambria Math"/>
          <w:sz w:val="32"/>
          <w:szCs w:val="32"/>
        </w:rPr>
        <w:t>、</w:t>
      </w:r>
      <w:r>
        <w:rPr>
          <w:rFonts w:hint="eastAsia" w:ascii="仿宋_GB2312" w:hAnsi="Arial" w:eastAsia="仿宋_GB2312" w:cs="Arial"/>
          <w:sz w:val="32"/>
          <w:szCs w:val="32"/>
        </w:rPr>
        <w:t>铅（以Pb计）、镉（以Cd计）。</w:t>
      </w:r>
    </w:p>
    <w:p>
      <w:pPr>
        <w:numPr>
          <w:ilvl w:val="0"/>
          <w:numId w:val="1"/>
        </w:numPr>
        <w:adjustRightInd w:val="0"/>
        <w:spacing w:line="60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豆制品</w:t>
      </w:r>
    </w:p>
    <w:p>
      <w:pPr>
        <w:adjustRightInd w:val="0"/>
        <w:spacing w:line="600" w:lineRule="exact"/>
        <w:ind w:left="8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（一）抽检依据</w:t>
      </w:r>
    </w:p>
    <w:p>
      <w:pPr>
        <w:adjustRightInd w:val="0"/>
        <w:spacing w:line="600" w:lineRule="exact"/>
        <w:ind w:firstLine="640" w:firstLineChars="200"/>
        <w:rPr>
          <w:rFonts w:ascii="仿宋_GB2312" w:hAnsi="Arial" w:eastAsia="仿宋_GB2312" w:cs="Arial"/>
          <w:sz w:val="32"/>
          <w:szCs w:val="32"/>
        </w:rPr>
      </w:pPr>
      <w:r>
        <w:rPr>
          <w:rFonts w:hint="eastAsia" w:ascii="仿宋_GB2312" w:hAnsi="Arial" w:eastAsia="仿宋_GB2312" w:cs="Arial"/>
          <w:sz w:val="32"/>
          <w:szCs w:val="32"/>
        </w:rPr>
        <w:t>抽检依据是GB</w:t>
      </w:r>
      <w:r>
        <w:rPr>
          <w:rFonts w:ascii="仿宋_GB2312" w:hAnsi="Arial" w:eastAsia="仿宋_GB2312" w:cs="Arial"/>
          <w:sz w:val="32"/>
          <w:szCs w:val="32"/>
        </w:rPr>
        <w:t xml:space="preserve"> </w:t>
      </w:r>
      <w:r>
        <w:rPr>
          <w:rFonts w:hint="eastAsia" w:ascii="仿宋_GB2312" w:hAnsi="Arial" w:eastAsia="仿宋_GB2312" w:cs="Arial"/>
          <w:sz w:val="32"/>
          <w:szCs w:val="32"/>
        </w:rPr>
        <w:t>2760-2014《食品安全国家标准食品添加剂使用标准》。</w:t>
      </w:r>
    </w:p>
    <w:p>
      <w:pPr>
        <w:adjustRightInd w:val="0"/>
        <w:spacing w:line="600" w:lineRule="exact"/>
        <w:ind w:left="8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（二）检验项目</w:t>
      </w:r>
    </w:p>
    <w:p>
      <w:pPr>
        <w:ind w:firstLine="640" w:firstLineChars="200"/>
        <w:rPr>
          <w:rFonts w:hint="eastAsia" w:ascii="仿宋_GB2312" w:hAnsi="Arial" w:eastAsia="仿宋_GB2312" w:cs="Arial"/>
          <w:sz w:val="32"/>
          <w:szCs w:val="32"/>
        </w:rPr>
      </w:pPr>
      <w:r>
        <w:rPr>
          <w:rFonts w:hint="eastAsia" w:ascii="仿宋_GB2312" w:hAnsi="Arial" w:eastAsia="仿宋_GB2312" w:cs="Arial"/>
          <w:sz w:val="32"/>
          <w:szCs w:val="32"/>
        </w:rPr>
        <w:t>苯甲酸及其钠盐（以苯甲酸计）、丙酸及其钠盐、钙盐（以丙酸计）、脱氢乙酸及其钠盐（以脱氢乙酸计）。</w:t>
      </w: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701" w:right="1474" w:bottom="1440" w:left="1588" w:header="851" w:footer="992" w:gutter="0"/>
      <w:pgNumType w:fmt="numberInDash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</w:rPr>
      <w:t>- 2 -</w:t>
    </w:r>
    <w:r>
      <w:rPr>
        <w:rStyle w:val="5"/>
      </w:rP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CEF31FD"/>
    <w:multiLevelType w:val="singleLevel"/>
    <w:tmpl w:val="BCEF31FD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493DF341"/>
    <w:multiLevelType w:val="singleLevel"/>
    <w:tmpl w:val="493DF341"/>
    <w:lvl w:ilvl="0" w:tentative="0">
      <w:start w:val="1"/>
      <w:numFmt w:val="chineseCounting"/>
      <w:suff w:val="nothing"/>
      <w:lvlText w:val="%1、"/>
      <w:lvlJc w:val="left"/>
      <w:pPr>
        <w:ind w:left="800" w:firstLine="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M1MGE5ZTBlOTc4NmU4NGFjMmE1ODNhYmNhZGE3NWIifQ=="/>
  </w:docVars>
  <w:rsids>
    <w:rsidRoot w:val="00000000"/>
    <w:rsid w:val="35820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2023-05-26T06:39:19Z</dcterms:created>
  <dc:creator>HP</dc:creator>
  <cp:lastModifiedBy>李 东</cp:lastModifiedBy>
  <dcterms:modified xsi:type="dcterms:W3CDTF">2023-05-26T06:39:23Z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4F51A29A78AD41E397A4DB446FB5FEAE_12</vt:lpwstr>
  </property>
</Properties>
</file>