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540" w:lineRule="exact"/>
        <w:jc w:val="both"/>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r>
        <w:rPr>
          <w:rStyle w:val="6"/>
          <w:rFonts w:ascii="宋体" w:hAnsi="宋体"/>
          <w:b/>
          <w:i w:val="0"/>
          <w:caps w:val="0"/>
          <w:spacing w:val="0"/>
          <w:w w:val="100"/>
          <w:kern w:val="2"/>
          <w:sz w:val="52"/>
          <w:szCs w:val="52"/>
          <w:lang w:val="en-US" w:eastAsia="zh-CN" w:bidi="ar-SA"/>
        </w:rPr>
        <w:t>本高附属学校2021年度部门决算</w:t>
      </w: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lang w:val="en-US" w:eastAsia="zh-CN" w:bidi="ar-SA"/>
        </w:rPr>
      </w:pPr>
      <w:r>
        <w:rPr>
          <w:rStyle w:val="6"/>
          <w:rFonts w:ascii="Times New Roman" w:hAnsi="Times New Roman" w:eastAsia="宋体"/>
          <w:b/>
          <w:i w:val="0"/>
          <w:caps w:val="0"/>
          <w:spacing w:val="0"/>
          <w:w w:val="100"/>
          <w:kern w:val="2"/>
          <w:sz w:val="44"/>
          <w:szCs w:val="44"/>
          <w:lang w:val="en-US" w:eastAsia="zh-CN" w:bidi="ar-SA"/>
        </w:rPr>
        <w:t>目    录</w:t>
      </w:r>
    </w:p>
    <w:p>
      <w:pPr>
        <w:snapToGrid/>
        <w:spacing w:before="0" w:beforeAutospacing="0" w:after="0" w:afterAutospacing="0" w:line="540" w:lineRule="exact"/>
        <w:jc w:val="both"/>
        <w:textAlignment w:val="baseline"/>
        <w:rPr>
          <w:rStyle w:val="6"/>
          <w:rFonts w:ascii="Times New Roman" w:hAnsi="Times New Roman" w:eastAsia="宋体"/>
          <w:b/>
          <w:i w:val="0"/>
          <w:caps w:val="0"/>
          <w:spacing w:val="0"/>
          <w:w w:val="100"/>
          <w:kern w:val="2"/>
          <w:sz w:val="44"/>
          <w:szCs w:val="44"/>
          <w:u w:val="single"/>
          <w:lang w:val="en-US" w:eastAsia="zh-CN" w:bidi="ar-SA"/>
        </w:rPr>
      </w:pPr>
    </w:p>
    <w:p>
      <w:pPr>
        <w:snapToGrid/>
        <w:spacing w:before="0" w:beforeAutospacing="0" w:after="0" w:afterAutospacing="0" w:line="540" w:lineRule="exact"/>
        <w:jc w:val="both"/>
        <w:textAlignment w:val="baseline"/>
        <w:rPr>
          <w:rStyle w:val="6"/>
          <w:rFonts w:ascii="黑体" w:hAnsi="黑体" w:eastAsia="黑体"/>
          <w:b w:val="0"/>
          <w:i w:val="0"/>
          <w:caps w:val="0"/>
          <w:spacing w:val="0"/>
          <w:w w:val="100"/>
          <w:kern w:val="2"/>
          <w:sz w:val="32"/>
          <w:szCs w:val="32"/>
          <w:lang w:val="en-US" w:eastAsia="zh-CN" w:bidi="ar-SA"/>
        </w:rPr>
      </w:pPr>
      <w:r>
        <w:rPr>
          <w:rStyle w:val="6"/>
          <w:rFonts w:ascii="黑体" w:hAnsi="黑体" w:eastAsia="黑体"/>
          <w:b w:val="0"/>
          <w:i w:val="0"/>
          <w:caps w:val="0"/>
          <w:spacing w:val="0"/>
          <w:w w:val="100"/>
          <w:kern w:val="2"/>
          <w:sz w:val="32"/>
          <w:szCs w:val="32"/>
          <w:lang w:val="en-US" w:eastAsia="zh-CN" w:bidi="ar-SA"/>
        </w:rPr>
        <w:t>第一部分    部门概况</w:t>
      </w:r>
    </w:p>
    <w:p>
      <w:pPr>
        <w:numPr>
          <w:ilvl w:val="0"/>
          <w:numId w:val="1"/>
        </w:numPr>
        <w:snapToGrid/>
        <w:spacing w:before="0" w:beforeAutospacing="0" w:after="0" w:afterAutospacing="0" w:line="540" w:lineRule="exact"/>
        <w:ind w:left="720" w:hanging="720"/>
        <w:jc w:val="both"/>
        <w:textAlignment w:val="baseline"/>
        <w:rPr>
          <w:rStyle w:val="6"/>
          <w:rFonts w:ascii="仿宋_GB2312" w:hAnsi="黑体" w:eastAsia="仿宋_GB2312"/>
          <w:b w:val="0"/>
          <w:i w:val="0"/>
          <w:caps w:val="0"/>
          <w:spacing w:val="0"/>
          <w:w w:val="100"/>
          <w:kern w:val="2"/>
          <w:sz w:val="32"/>
          <w:szCs w:val="32"/>
          <w:lang w:val="en-US" w:eastAsia="zh-CN" w:bidi="ar-SA"/>
        </w:rPr>
      </w:pPr>
      <w:r>
        <w:rPr>
          <w:rStyle w:val="6"/>
          <w:rFonts w:ascii="仿宋_GB2312" w:hAnsi="黑体" w:eastAsia="仿宋_GB2312"/>
          <w:b w:val="0"/>
          <w:i w:val="0"/>
          <w:caps w:val="0"/>
          <w:spacing w:val="0"/>
          <w:w w:val="100"/>
          <w:kern w:val="2"/>
          <w:sz w:val="32"/>
          <w:szCs w:val="32"/>
          <w:lang w:val="en-US" w:eastAsia="zh-CN" w:bidi="ar-SA"/>
        </w:rPr>
        <w:t>主要职责</w:t>
      </w:r>
    </w:p>
    <w:p>
      <w:pPr>
        <w:numPr>
          <w:ilvl w:val="0"/>
          <w:numId w:val="1"/>
        </w:numPr>
        <w:snapToGrid/>
        <w:spacing w:before="0" w:beforeAutospacing="0" w:after="0" w:afterAutospacing="0" w:line="540" w:lineRule="exact"/>
        <w:ind w:left="720" w:hanging="720"/>
        <w:jc w:val="both"/>
        <w:textAlignment w:val="baseline"/>
        <w:rPr>
          <w:rStyle w:val="6"/>
          <w:rFonts w:ascii="仿宋_GB2312" w:hAnsi="黑体" w:eastAsia="仿宋_GB2312"/>
          <w:b w:val="0"/>
          <w:i w:val="0"/>
          <w:caps w:val="0"/>
          <w:spacing w:val="0"/>
          <w:w w:val="100"/>
          <w:kern w:val="2"/>
          <w:sz w:val="32"/>
          <w:szCs w:val="32"/>
          <w:lang w:val="en-US" w:eastAsia="zh-CN" w:bidi="ar-SA"/>
        </w:rPr>
      </w:pPr>
      <w:r>
        <w:rPr>
          <w:rStyle w:val="6"/>
          <w:rFonts w:ascii="仿宋_GB2312" w:hAnsi="黑体" w:eastAsia="仿宋_GB2312"/>
          <w:b w:val="0"/>
          <w:i w:val="0"/>
          <w:caps w:val="0"/>
          <w:spacing w:val="0"/>
          <w:w w:val="100"/>
          <w:kern w:val="2"/>
          <w:sz w:val="32"/>
          <w:szCs w:val="32"/>
          <w:lang w:val="en-US" w:eastAsia="zh-CN" w:bidi="ar-SA"/>
        </w:rPr>
        <w:t>部门决算单位构成</w:t>
      </w:r>
    </w:p>
    <w:p>
      <w:pPr>
        <w:snapToGrid/>
        <w:spacing w:before="0" w:beforeAutospacing="0" w:after="0" w:afterAutospacing="0" w:line="540" w:lineRule="exact"/>
        <w:jc w:val="both"/>
        <w:textAlignment w:val="baseline"/>
        <w:rPr>
          <w:rStyle w:val="6"/>
          <w:rFonts w:ascii="黑体" w:hAnsi="黑体" w:eastAsia="黑体"/>
          <w:b w:val="0"/>
          <w:i w:val="0"/>
          <w:caps w:val="0"/>
          <w:spacing w:val="0"/>
          <w:w w:val="100"/>
          <w:kern w:val="2"/>
          <w:sz w:val="32"/>
          <w:szCs w:val="32"/>
          <w:lang w:val="en-US" w:eastAsia="zh-CN" w:bidi="ar-SA"/>
        </w:rPr>
      </w:pPr>
      <w:r>
        <w:rPr>
          <w:rStyle w:val="6"/>
          <w:rFonts w:ascii="黑体" w:hAnsi="黑体" w:eastAsia="黑体"/>
          <w:b w:val="0"/>
          <w:i w:val="0"/>
          <w:caps w:val="0"/>
          <w:spacing w:val="0"/>
          <w:w w:val="100"/>
          <w:kern w:val="2"/>
          <w:sz w:val="32"/>
          <w:szCs w:val="32"/>
          <w:lang w:val="en-US" w:eastAsia="zh-CN" w:bidi="ar-SA"/>
        </w:rPr>
        <w:t>第二部分    2021年度部门决算情况说明</w:t>
      </w:r>
    </w:p>
    <w:p>
      <w:pPr>
        <w:snapToGrid/>
        <w:spacing w:before="0" w:beforeAutospacing="0" w:after="0" w:afterAutospacing="0" w:line="540" w:lineRule="exact"/>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一、收入支出决算总体情况说明</w:t>
      </w:r>
    </w:p>
    <w:p>
      <w:pPr>
        <w:snapToGrid/>
        <w:spacing w:before="0" w:beforeAutospacing="0" w:after="0" w:afterAutospacing="0" w:line="540" w:lineRule="exact"/>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二、财政拨款收入支出决算情况说明</w:t>
      </w:r>
    </w:p>
    <w:p>
      <w:pPr>
        <w:snapToGrid/>
        <w:spacing w:before="0" w:beforeAutospacing="0" w:after="0" w:afterAutospacing="0" w:line="540" w:lineRule="exact"/>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三、一般公共预算财政拨款“三公”经费支出决算情况说明</w:t>
      </w:r>
    </w:p>
    <w:p>
      <w:pPr>
        <w:snapToGrid/>
        <w:spacing w:before="0" w:beforeAutospacing="0" w:after="0" w:afterAutospacing="0" w:line="540" w:lineRule="exact"/>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四、一般公共预算财政拨款基本支出决算情况说明</w:t>
      </w:r>
    </w:p>
    <w:p>
      <w:pPr>
        <w:snapToGrid/>
        <w:spacing w:before="0" w:beforeAutospacing="0" w:after="0" w:afterAutospacing="0" w:line="540" w:lineRule="exact"/>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五、其他重要事项的情况说明</w:t>
      </w:r>
    </w:p>
    <w:p>
      <w:pPr>
        <w:snapToGrid/>
        <w:spacing w:before="0" w:beforeAutospacing="0" w:after="0" w:afterAutospacing="0" w:line="540" w:lineRule="exact"/>
        <w:jc w:val="both"/>
        <w:textAlignment w:val="baseline"/>
        <w:rPr>
          <w:rStyle w:val="6"/>
          <w:rFonts w:ascii="黑体" w:hAnsi="黑体" w:eastAsia="黑体"/>
          <w:b w:val="0"/>
          <w:i w:val="0"/>
          <w:caps w:val="0"/>
          <w:spacing w:val="0"/>
          <w:w w:val="100"/>
          <w:kern w:val="2"/>
          <w:sz w:val="32"/>
          <w:szCs w:val="32"/>
          <w:lang w:val="en-US" w:eastAsia="zh-CN" w:bidi="ar-SA"/>
        </w:rPr>
      </w:pPr>
      <w:r>
        <w:rPr>
          <w:rStyle w:val="6"/>
          <w:rFonts w:ascii="黑体" w:hAnsi="黑体" w:eastAsia="黑体"/>
          <w:b w:val="0"/>
          <w:i w:val="0"/>
          <w:caps w:val="0"/>
          <w:spacing w:val="0"/>
          <w:w w:val="100"/>
          <w:kern w:val="2"/>
          <w:sz w:val="32"/>
          <w:szCs w:val="32"/>
          <w:lang w:val="en-US" w:eastAsia="zh-CN" w:bidi="ar-SA"/>
        </w:rPr>
        <w:t>第三部分    名词解释</w:t>
      </w:r>
    </w:p>
    <w:p>
      <w:pPr>
        <w:snapToGrid/>
        <w:spacing w:before="0" w:beforeAutospacing="0" w:after="0" w:afterAutospacing="0" w:line="540" w:lineRule="exact"/>
        <w:jc w:val="both"/>
        <w:textAlignment w:val="baseline"/>
        <w:rPr>
          <w:rStyle w:val="6"/>
          <w:rFonts w:ascii="黑体" w:hAnsi="黑体" w:eastAsia="黑体"/>
          <w:b w:val="0"/>
          <w:i w:val="0"/>
          <w:caps w:val="0"/>
          <w:spacing w:val="0"/>
          <w:w w:val="100"/>
          <w:kern w:val="2"/>
          <w:sz w:val="32"/>
          <w:szCs w:val="32"/>
          <w:lang w:val="en-US" w:eastAsia="zh-CN" w:bidi="ar-SA"/>
        </w:rPr>
      </w:pPr>
      <w:r>
        <w:rPr>
          <w:rStyle w:val="6"/>
          <w:rFonts w:ascii="黑体" w:hAnsi="黑体" w:eastAsia="黑体"/>
          <w:b w:val="0"/>
          <w:i w:val="0"/>
          <w:caps w:val="0"/>
          <w:spacing w:val="0"/>
          <w:w w:val="100"/>
          <w:kern w:val="2"/>
          <w:sz w:val="32"/>
          <w:szCs w:val="32"/>
          <w:lang w:val="en-US" w:eastAsia="zh-CN" w:bidi="ar-SA"/>
        </w:rPr>
        <w:t>第四部分    2021年度部门决算报表</w:t>
      </w:r>
    </w:p>
    <w:p>
      <w:pPr>
        <w:snapToGrid/>
        <w:spacing w:before="0" w:beforeAutospacing="0" w:after="0" w:afterAutospacing="0" w:line="540" w:lineRule="exact"/>
        <w:jc w:val="both"/>
        <w:textAlignment w:val="baseline"/>
        <w:rPr>
          <w:rStyle w:val="6"/>
          <w:rFonts w:ascii="仿宋_GB2312" w:hAnsi="黑体"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一、</w:t>
      </w:r>
      <w:r>
        <w:rPr>
          <w:rStyle w:val="6"/>
          <w:rFonts w:ascii="仿宋_GB2312" w:hAnsi="仿宋" w:eastAsia="仿宋_GB2312"/>
          <w:b w:val="0"/>
          <w:i w:val="0"/>
          <w:caps w:val="0"/>
          <w:spacing w:val="0"/>
          <w:w w:val="100"/>
          <w:kern w:val="2"/>
          <w:sz w:val="32"/>
          <w:szCs w:val="32"/>
          <w:lang w:val="en-US" w:eastAsia="zh-CN" w:bidi="ar-SA"/>
        </w:rPr>
        <w:t>收入支出决算总表</w:t>
      </w:r>
    </w:p>
    <w:p>
      <w:pPr>
        <w:snapToGrid/>
        <w:spacing w:before="0" w:beforeAutospacing="0" w:after="0" w:afterAutospacing="0" w:line="540" w:lineRule="exact"/>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二、收入决算表</w:t>
      </w:r>
    </w:p>
    <w:p>
      <w:pPr>
        <w:snapToGrid/>
        <w:spacing w:before="0" w:beforeAutospacing="0" w:after="0" w:afterAutospacing="0" w:line="540" w:lineRule="exact"/>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三、支出决算表</w:t>
      </w:r>
    </w:p>
    <w:p>
      <w:pPr>
        <w:snapToGrid/>
        <w:spacing w:before="0" w:beforeAutospacing="0" w:after="0" w:afterAutospacing="0" w:line="540" w:lineRule="exact"/>
        <w:jc w:val="both"/>
        <w:textAlignment w:val="baseline"/>
        <w:rPr>
          <w:rStyle w:val="6"/>
          <w:rFonts w:ascii="仿宋_GB2312" w:hAnsi="黑体"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四、</w:t>
      </w:r>
      <w:r>
        <w:rPr>
          <w:rStyle w:val="6"/>
          <w:rFonts w:ascii="仿宋_GB2312" w:hAnsi="仿宋" w:eastAsia="仿宋_GB2312"/>
          <w:b w:val="0"/>
          <w:i w:val="0"/>
          <w:caps w:val="0"/>
          <w:spacing w:val="0"/>
          <w:w w:val="100"/>
          <w:kern w:val="2"/>
          <w:sz w:val="32"/>
          <w:szCs w:val="32"/>
          <w:lang w:val="en-US" w:eastAsia="zh-CN" w:bidi="ar-SA"/>
        </w:rPr>
        <w:t>财政拨款收入支出决算表</w:t>
      </w:r>
    </w:p>
    <w:p>
      <w:pPr>
        <w:snapToGrid/>
        <w:spacing w:before="0" w:beforeAutospacing="0" w:after="0" w:afterAutospacing="0" w:line="540" w:lineRule="exact"/>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五、一般公共预算财政拨款支出决算表</w:t>
      </w:r>
    </w:p>
    <w:p>
      <w:pPr>
        <w:snapToGrid/>
        <w:spacing w:before="0" w:beforeAutospacing="0" w:after="0" w:afterAutospacing="0" w:line="540" w:lineRule="exact"/>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六、一般公共预算财政拨款基本支出决算表</w:t>
      </w:r>
    </w:p>
    <w:p>
      <w:pPr>
        <w:snapToGrid/>
        <w:spacing w:before="0" w:beforeAutospacing="0" w:after="0" w:afterAutospacing="0" w:line="540" w:lineRule="exact"/>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七、政府性基金预算财政拨款支出决算表</w:t>
      </w:r>
    </w:p>
    <w:p>
      <w:pPr>
        <w:snapToGrid/>
        <w:spacing w:before="0" w:beforeAutospacing="0" w:after="0" w:afterAutospacing="0" w:line="540" w:lineRule="exact"/>
        <w:ind w:left="640" w:hanging="640"/>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八、一般公共预算财政拨款“三公”经费支出决算表</w:t>
      </w:r>
    </w:p>
    <w:p>
      <w:pPr>
        <w:snapToGrid/>
        <w:spacing w:before="0" w:beforeAutospacing="0" w:after="0" w:afterAutospacing="0" w:line="540" w:lineRule="exact"/>
        <w:ind w:left="640" w:hanging="640"/>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九、国有资本经营预算财政拨款支出决算表</w:t>
      </w:r>
    </w:p>
    <w:p>
      <w:pPr>
        <w:snapToGrid/>
        <w:spacing w:before="0" w:beforeAutospacing="0" w:after="0" w:afterAutospacing="0" w:line="540" w:lineRule="exact"/>
        <w:jc w:val="center"/>
        <w:textAlignment w:val="baseline"/>
        <w:rPr>
          <w:rStyle w:val="6"/>
          <w:rFonts w:ascii="黑体" w:hAnsi="黑体" w:eastAsia="黑体"/>
          <w:b/>
          <w:i w:val="0"/>
          <w:caps w:val="0"/>
          <w:spacing w:val="0"/>
          <w:w w:val="100"/>
          <w:kern w:val="2"/>
          <w:sz w:val="44"/>
          <w:szCs w:val="44"/>
          <w:u w:val="single"/>
          <w:lang w:val="en-US" w:eastAsia="zh-CN" w:bidi="ar-SA"/>
        </w:rPr>
      </w:pPr>
    </w:p>
    <w:p>
      <w:pPr>
        <w:snapToGrid/>
        <w:spacing w:before="0" w:beforeAutospacing="0" w:after="0" w:afterAutospacing="0" w:line="540" w:lineRule="exact"/>
        <w:jc w:val="center"/>
        <w:textAlignment w:val="baseline"/>
        <w:rPr>
          <w:rStyle w:val="6"/>
          <w:rFonts w:ascii="Times New Roman" w:hAnsi="Times New Roman" w:eastAsia="宋体"/>
          <w:b/>
          <w:i w:val="0"/>
          <w:caps w:val="0"/>
          <w:spacing w:val="0"/>
          <w:w w:val="100"/>
          <w:kern w:val="2"/>
          <w:sz w:val="44"/>
          <w:szCs w:val="44"/>
          <w:u w:val="single"/>
          <w:lang w:val="en-US" w:eastAsia="zh-CN" w:bidi="ar-SA"/>
        </w:rPr>
      </w:pPr>
      <w:r>
        <w:rPr>
          <w:rStyle w:val="6"/>
          <w:rFonts w:ascii="Times New Roman" w:hAnsi="Times New Roman" w:eastAsia="宋体"/>
          <w:b/>
          <w:i w:val="0"/>
          <w:caps w:val="0"/>
          <w:spacing w:val="0"/>
          <w:w w:val="100"/>
          <w:kern w:val="2"/>
          <w:sz w:val="44"/>
          <w:szCs w:val="44"/>
          <w:u w:val="single"/>
          <w:lang w:val="en-US" w:eastAsia="zh-CN" w:bidi="ar-SA"/>
        </w:rPr>
        <w:br w:type="page"/>
      </w:r>
    </w:p>
    <w:p>
      <w:pPr>
        <w:snapToGrid/>
        <w:spacing w:before="0" w:beforeAutospacing="0" w:after="0" w:afterAutospacing="0" w:line="540" w:lineRule="exact"/>
        <w:jc w:val="center"/>
        <w:textAlignment w:val="baseline"/>
        <w:rPr>
          <w:rStyle w:val="6"/>
          <w:rFonts w:ascii="宋体" w:hAnsi="宋体"/>
          <w:b/>
          <w:i w:val="0"/>
          <w:caps w:val="0"/>
          <w:spacing w:val="0"/>
          <w:w w:val="100"/>
          <w:kern w:val="2"/>
          <w:sz w:val="36"/>
          <w:szCs w:val="36"/>
          <w:lang w:val="en-US" w:eastAsia="zh-CN" w:bidi="ar-SA"/>
        </w:rPr>
      </w:pPr>
      <w:r>
        <w:rPr>
          <w:rStyle w:val="6"/>
          <w:rFonts w:ascii="宋体" w:hAnsi="宋体"/>
          <w:b/>
          <w:i w:val="0"/>
          <w:caps w:val="0"/>
          <w:spacing w:val="0"/>
          <w:w w:val="100"/>
          <w:kern w:val="2"/>
          <w:sz w:val="36"/>
          <w:szCs w:val="36"/>
          <w:lang w:val="en-US" w:eastAsia="zh-CN" w:bidi="ar-SA"/>
        </w:rPr>
        <w:t>第一部分 部门概况</w:t>
      </w:r>
    </w:p>
    <w:p>
      <w:pPr>
        <w:snapToGrid/>
        <w:spacing w:before="0" w:beforeAutospacing="0" w:after="0" w:afterAutospacing="0" w:line="540" w:lineRule="exact"/>
        <w:ind w:firstLine="640" w:firstLineChars="200"/>
        <w:jc w:val="left"/>
        <w:textAlignment w:val="baseline"/>
        <w:rPr>
          <w:rStyle w:val="6"/>
          <w:rFonts w:ascii="黑体" w:eastAsia="黑体"/>
          <w:b w:val="0"/>
          <w:i w:val="0"/>
          <w:caps w:val="0"/>
          <w:spacing w:val="0"/>
          <w:w w:val="100"/>
          <w:kern w:val="2"/>
          <w:sz w:val="32"/>
          <w:szCs w:val="32"/>
          <w:lang w:val="en-US" w:eastAsia="zh-CN" w:bidi="ar-SA"/>
        </w:rPr>
      </w:pPr>
    </w:p>
    <w:p>
      <w:pPr>
        <w:spacing w:line="540" w:lineRule="exact"/>
        <w:ind w:firstLine="640" w:firstLineChars="200"/>
        <w:jc w:val="left"/>
        <w:rPr>
          <w:rFonts w:hint="eastAsia" w:ascii="黑体" w:eastAsia="黑体"/>
          <w:sz w:val="32"/>
          <w:szCs w:val="32"/>
        </w:rPr>
      </w:pPr>
      <w:r>
        <w:rPr>
          <w:rFonts w:hint="eastAsia" w:ascii="黑体" w:eastAsia="黑体"/>
          <w:sz w:val="32"/>
          <w:szCs w:val="32"/>
        </w:rPr>
        <w:t>一、主要职责</w:t>
      </w:r>
    </w:p>
    <w:p>
      <w:pPr>
        <w:shd w:val="clear" w:color="auto" w:fill="FFFFFF"/>
        <w:spacing w:line="480" w:lineRule="auto"/>
        <w:ind w:firstLine="600" w:firstLineChars="200"/>
        <w:jc w:val="left"/>
        <w:rPr>
          <w:rFonts w:ascii="黑体" w:hAnsi="黑体" w:eastAsia="黑体" w:cs="宋体"/>
          <w:color w:val="333333"/>
          <w:kern w:val="0"/>
          <w:sz w:val="30"/>
          <w:szCs w:val="30"/>
        </w:rPr>
      </w:pPr>
      <w:r>
        <w:rPr>
          <w:rFonts w:ascii="黑体" w:hAnsi="黑体" w:eastAsia="黑体" w:cs="宋体"/>
          <w:color w:val="333333"/>
          <w:kern w:val="0"/>
          <w:sz w:val="30"/>
          <w:szCs w:val="30"/>
        </w:rPr>
        <w:t>1</w:t>
      </w:r>
      <w:r>
        <w:rPr>
          <w:rFonts w:hint="eastAsia" w:ascii="黑体" w:hAnsi="黑体" w:eastAsia="黑体" w:cs="宋体"/>
          <w:color w:val="333333"/>
          <w:kern w:val="0"/>
          <w:sz w:val="30"/>
          <w:szCs w:val="30"/>
        </w:rPr>
        <w:t>贯彻执行国家和省、市有关教育改革与发展的方针、政策和法律、法规。</w:t>
      </w:r>
    </w:p>
    <w:p>
      <w:pPr>
        <w:shd w:val="clear" w:color="auto" w:fill="FFFFFF"/>
        <w:spacing w:line="480" w:lineRule="auto"/>
        <w:ind w:firstLine="600" w:firstLineChars="200"/>
        <w:jc w:val="left"/>
        <w:rPr>
          <w:rFonts w:ascii="黑体" w:hAnsi="黑体" w:eastAsia="黑体" w:cs="宋体"/>
          <w:color w:val="333333"/>
          <w:kern w:val="0"/>
          <w:sz w:val="30"/>
          <w:szCs w:val="30"/>
        </w:rPr>
      </w:pPr>
      <w:r>
        <w:rPr>
          <w:rFonts w:ascii="黑体" w:hAnsi="黑体" w:eastAsia="黑体" w:cs="宋体"/>
          <w:color w:val="333333"/>
          <w:kern w:val="0"/>
          <w:sz w:val="30"/>
          <w:szCs w:val="30"/>
        </w:rPr>
        <w:t>2</w:t>
      </w:r>
      <w:r>
        <w:rPr>
          <w:rFonts w:hint="eastAsia" w:ascii="黑体" w:hAnsi="黑体" w:eastAsia="黑体" w:cs="宋体"/>
          <w:color w:val="333333"/>
          <w:kern w:val="0"/>
          <w:sz w:val="30"/>
          <w:szCs w:val="30"/>
        </w:rPr>
        <w:t>研究拟订</w:t>
      </w:r>
      <w:r>
        <w:rPr>
          <w:rFonts w:hint="eastAsia" w:ascii="黑体" w:hAnsi="黑体" w:eastAsia="黑体" w:cs="宋体"/>
          <w:color w:val="333333"/>
          <w:kern w:val="0"/>
          <w:sz w:val="30"/>
          <w:szCs w:val="30"/>
          <w:lang w:eastAsia="zh-CN"/>
        </w:rPr>
        <w:t>学校</w:t>
      </w:r>
      <w:r>
        <w:rPr>
          <w:rFonts w:hint="eastAsia" w:ascii="黑体" w:hAnsi="黑体" w:eastAsia="黑体" w:cs="宋体"/>
          <w:color w:val="333333"/>
          <w:kern w:val="0"/>
          <w:sz w:val="30"/>
          <w:szCs w:val="30"/>
        </w:rPr>
        <w:t>教育事业发展规划，确定年度发展计划，调整中小学校的布局。拟订区域性教育教学改革的政策及确定教育事业发展的重点、规模、结构、速度和步骤，指导并协调实施工作。</w:t>
      </w:r>
    </w:p>
    <w:p>
      <w:pPr>
        <w:shd w:val="clear" w:color="auto" w:fill="FFFFFF"/>
        <w:spacing w:line="480" w:lineRule="auto"/>
        <w:ind w:firstLine="600" w:firstLineChars="200"/>
        <w:jc w:val="left"/>
        <w:rPr>
          <w:rFonts w:ascii="黑体" w:hAnsi="黑体" w:eastAsia="黑体" w:cs="宋体"/>
          <w:color w:val="333333"/>
          <w:kern w:val="0"/>
          <w:sz w:val="30"/>
          <w:szCs w:val="30"/>
        </w:rPr>
      </w:pPr>
      <w:r>
        <w:rPr>
          <w:rFonts w:ascii="黑体" w:hAnsi="黑体" w:eastAsia="黑体" w:cs="宋体"/>
          <w:color w:val="333333"/>
          <w:kern w:val="0"/>
          <w:sz w:val="30"/>
          <w:szCs w:val="30"/>
        </w:rPr>
        <w:t>3</w:t>
      </w:r>
      <w:r>
        <w:rPr>
          <w:rFonts w:hint="eastAsia" w:ascii="黑体" w:hAnsi="黑体" w:eastAsia="黑体" w:cs="宋体"/>
          <w:color w:val="333333"/>
          <w:kern w:val="0"/>
          <w:sz w:val="30"/>
          <w:szCs w:val="30"/>
        </w:rPr>
        <w:t>负责推进</w:t>
      </w:r>
      <w:r>
        <w:rPr>
          <w:rFonts w:hint="eastAsia" w:ascii="黑体" w:hAnsi="黑体" w:eastAsia="黑体" w:cs="宋体"/>
          <w:color w:val="333333"/>
          <w:kern w:val="0"/>
          <w:sz w:val="30"/>
          <w:szCs w:val="30"/>
          <w:lang w:eastAsia="zh-CN"/>
        </w:rPr>
        <w:t>学校</w:t>
      </w:r>
      <w:r>
        <w:rPr>
          <w:rFonts w:hint="eastAsia" w:ascii="黑体" w:hAnsi="黑体" w:eastAsia="黑体" w:cs="宋体"/>
          <w:color w:val="333333"/>
          <w:kern w:val="0"/>
          <w:sz w:val="30"/>
          <w:szCs w:val="30"/>
        </w:rPr>
        <w:t>义务教育均衡发展和促进教育公平，负责</w:t>
      </w:r>
      <w:r>
        <w:rPr>
          <w:rFonts w:hint="eastAsia" w:ascii="黑体" w:hAnsi="黑体" w:eastAsia="黑体" w:cs="宋体"/>
          <w:color w:val="333333"/>
          <w:kern w:val="0"/>
          <w:sz w:val="30"/>
          <w:szCs w:val="30"/>
          <w:lang w:eastAsia="zh-CN"/>
        </w:rPr>
        <w:t>学校</w:t>
      </w:r>
      <w:r>
        <w:rPr>
          <w:rFonts w:hint="eastAsia" w:ascii="黑体" w:hAnsi="黑体" w:eastAsia="黑体" w:cs="宋体"/>
          <w:color w:val="333333"/>
          <w:kern w:val="0"/>
          <w:sz w:val="30"/>
          <w:szCs w:val="30"/>
        </w:rPr>
        <w:t>义务教育宏观指导与协调，指导</w:t>
      </w:r>
      <w:r>
        <w:rPr>
          <w:rFonts w:hint="eastAsia" w:ascii="黑体" w:hAnsi="黑体" w:eastAsia="黑体" w:cs="宋体"/>
          <w:color w:val="333333"/>
          <w:kern w:val="0"/>
          <w:sz w:val="30"/>
          <w:szCs w:val="30"/>
          <w:lang w:eastAsia="zh-CN"/>
        </w:rPr>
        <w:t>学校</w:t>
      </w:r>
      <w:r>
        <w:rPr>
          <w:rFonts w:hint="eastAsia" w:ascii="黑体" w:hAnsi="黑体" w:eastAsia="黑体" w:cs="宋体"/>
          <w:color w:val="333333"/>
          <w:kern w:val="0"/>
          <w:sz w:val="30"/>
          <w:szCs w:val="30"/>
        </w:rPr>
        <w:t>幼儿教育、成人教育和特殊教育工作，指导各镇（街）、村（社区）等有关教育工作。</w:t>
      </w:r>
    </w:p>
    <w:p>
      <w:pPr>
        <w:shd w:val="clear" w:color="auto" w:fill="FFFFFF"/>
        <w:spacing w:line="480" w:lineRule="auto"/>
        <w:ind w:firstLine="600" w:firstLineChars="200"/>
        <w:jc w:val="left"/>
        <w:rPr>
          <w:rFonts w:ascii="黑体" w:hAnsi="黑体" w:eastAsia="黑体" w:cs="宋体"/>
          <w:color w:val="333333"/>
          <w:kern w:val="0"/>
          <w:sz w:val="30"/>
          <w:szCs w:val="30"/>
        </w:rPr>
      </w:pPr>
      <w:r>
        <w:rPr>
          <w:rFonts w:ascii="黑体" w:hAnsi="黑体" w:eastAsia="黑体" w:cs="宋体"/>
          <w:color w:val="333333"/>
          <w:kern w:val="0"/>
          <w:sz w:val="30"/>
          <w:szCs w:val="30"/>
        </w:rPr>
        <w:t>4</w:t>
      </w:r>
      <w:r>
        <w:rPr>
          <w:rFonts w:hint="eastAsia" w:ascii="黑体" w:hAnsi="黑体" w:eastAsia="黑体" w:cs="宋体"/>
          <w:color w:val="333333"/>
          <w:kern w:val="0"/>
          <w:sz w:val="30"/>
          <w:szCs w:val="30"/>
        </w:rPr>
        <w:t>组织</w:t>
      </w:r>
      <w:r>
        <w:rPr>
          <w:rFonts w:hint="eastAsia" w:ascii="黑体" w:hAnsi="黑体" w:eastAsia="黑体" w:cs="宋体"/>
          <w:color w:val="333333"/>
          <w:kern w:val="0"/>
          <w:sz w:val="30"/>
          <w:szCs w:val="30"/>
          <w:lang w:eastAsia="zh-CN"/>
        </w:rPr>
        <w:t>学校</w:t>
      </w:r>
      <w:r>
        <w:rPr>
          <w:rFonts w:hint="eastAsia" w:ascii="黑体" w:hAnsi="黑体" w:eastAsia="黑体" w:cs="宋体"/>
          <w:color w:val="333333"/>
          <w:kern w:val="0"/>
          <w:sz w:val="30"/>
          <w:szCs w:val="30"/>
        </w:rPr>
        <w:t>基础教育、幼儿教育、特殊教育等各类教育工作的督导、检查、评优，指导</w:t>
      </w:r>
      <w:r>
        <w:rPr>
          <w:rFonts w:hint="eastAsia" w:ascii="黑体" w:hAnsi="黑体" w:eastAsia="黑体" w:cs="宋体"/>
          <w:color w:val="333333"/>
          <w:kern w:val="0"/>
          <w:sz w:val="30"/>
          <w:szCs w:val="30"/>
          <w:lang w:eastAsia="zh-CN"/>
        </w:rPr>
        <w:t>学校</w:t>
      </w:r>
      <w:r>
        <w:rPr>
          <w:rFonts w:hint="eastAsia" w:ascii="黑体" w:hAnsi="黑体" w:eastAsia="黑体" w:cs="宋体"/>
          <w:color w:val="333333"/>
          <w:kern w:val="0"/>
          <w:sz w:val="30"/>
          <w:szCs w:val="30"/>
        </w:rPr>
        <w:t>基础教育发展水平和质量的监测工作。</w:t>
      </w:r>
    </w:p>
    <w:p>
      <w:pPr>
        <w:shd w:val="clear" w:color="auto" w:fill="FFFFFF"/>
        <w:spacing w:line="480" w:lineRule="auto"/>
        <w:ind w:firstLine="600" w:firstLineChars="200"/>
        <w:jc w:val="left"/>
        <w:rPr>
          <w:rFonts w:ascii="黑体" w:hAnsi="黑体" w:eastAsia="黑体" w:cs="宋体"/>
          <w:color w:val="333333"/>
          <w:kern w:val="0"/>
          <w:sz w:val="30"/>
          <w:szCs w:val="30"/>
        </w:rPr>
      </w:pPr>
      <w:r>
        <w:rPr>
          <w:rFonts w:ascii="黑体" w:hAnsi="黑体" w:eastAsia="黑体" w:cs="宋体"/>
          <w:color w:val="333333"/>
          <w:kern w:val="0"/>
          <w:sz w:val="30"/>
          <w:szCs w:val="30"/>
        </w:rPr>
        <w:t>5</w:t>
      </w:r>
      <w:r>
        <w:rPr>
          <w:rFonts w:hint="eastAsia" w:ascii="黑体" w:hAnsi="黑体" w:eastAsia="黑体" w:cs="宋体"/>
          <w:color w:val="333333"/>
          <w:kern w:val="0"/>
          <w:sz w:val="30"/>
          <w:szCs w:val="30"/>
        </w:rPr>
        <w:t>提出</w:t>
      </w:r>
      <w:r>
        <w:rPr>
          <w:rFonts w:hint="eastAsia" w:ascii="黑体" w:hAnsi="黑体" w:eastAsia="黑体" w:cs="宋体"/>
          <w:color w:val="333333"/>
          <w:kern w:val="0"/>
          <w:sz w:val="30"/>
          <w:szCs w:val="30"/>
          <w:lang w:eastAsia="zh-CN"/>
        </w:rPr>
        <w:t>学校</w:t>
      </w:r>
      <w:r>
        <w:rPr>
          <w:rFonts w:hint="eastAsia" w:ascii="黑体" w:hAnsi="黑体" w:eastAsia="黑体" w:cs="宋体"/>
          <w:color w:val="333333"/>
          <w:kern w:val="0"/>
          <w:sz w:val="30"/>
          <w:szCs w:val="30"/>
        </w:rPr>
        <w:t>教育经费年度需求和使用计划。统筹管理本部门教育经费，参与拟订筹措教育经费、教育</w:t>
      </w:r>
      <w:r>
        <w:rPr>
          <w:rFonts w:hint="eastAsia" w:ascii="黑体" w:hAnsi="黑体" w:eastAsia="黑体" w:cs="宋体"/>
          <w:color w:val="333333"/>
          <w:kern w:val="0"/>
          <w:sz w:val="30"/>
          <w:szCs w:val="30"/>
          <w:lang w:eastAsia="zh-CN"/>
        </w:rPr>
        <w:t>拨款</w:t>
      </w:r>
      <w:bookmarkStart w:id="0" w:name="_GoBack"/>
      <w:bookmarkEnd w:id="0"/>
      <w:r>
        <w:rPr>
          <w:rFonts w:hint="eastAsia" w:ascii="黑体" w:hAnsi="黑体" w:eastAsia="黑体" w:cs="宋体"/>
          <w:color w:val="333333"/>
          <w:kern w:val="0"/>
          <w:sz w:val="30"/>
          <w:szCs w:val="30"/>
        </w:rPr>
        <w:t>和教育基建投资的政策和办法；监测</w:t>
      </w:r>
      <w:r>
        <w:rPr>
          <w:rFonts w:hint="eastAsia" w:ascii="黑体" w:hAnsi="黑体" w:eastAsia="黑体" w:cs="宋体"/>
          <w:color w:val="333333"/>
          <w:kern w:val="0"/>
          <w:sz w:val="30"/>
          <w:szCs w:val="30"/>
          <w:lang w:eastAsia="zh-CN"/>
        </w:rPr>
        <w:t>学校</w:t>
      </w:r>
      <w:r>
        <w:rPr>
          <w:rFonts w:hint="eastAsia" w:ascii="黑体" w:hAnsi="黑体" w:eastAsia="黑体" w:cs="宋体"/>
          <w:color w:val="333333"/>
          <w:kern w:val="0"/>
          <w:sz w:val="30"/>
          <w:szCs w:val="30"/>
        </w:rPr>
        <w:t>教育经费的筹措和使用情况；参与</w:t>
      </w:r>
      <w:r>
        <w:rPr>
          <w:rFonts w:hint="eastAsia" w:ascii="黑体" w:hAnsi="黑体" w:eastAsia="黑体" w:cs="宋体"/>
          <w:color w:val="333333"/>
          <w:kern w:val="0"/>
          <w:sz w:val="30"/>
          <w:szCs w:val="30"/>
          <w:lang w:eastAsia="zh-CN"/>
        </w:rPr>
        <w:t>学校</w:t>
      </w:r>
      <w:r>
        <w:rPr>
          <w:rFonts w:hint="eastAsia" w:ascii="黑体" w:hAnsi="黑体" w:eastAsia="黑体" w:cs="宋体"/>
          <w:color w:val="333333"/>
          <w:kern w:val="0"/>
          <w:sz w:val="30"/>
          <w:szCs w:val="30"/>
        </w:rPr>
        <w:t>教育基建投资方案的拟订并组织实施；审批和管理中小学校舍、场地用途的改变及分配教育资源的指标工作；统计</w:t>
      </w:r>
      <w:r>
        <w:rPr>
          <w:rFonts w:hint="eastAsia" w:ascii="黑体" w:hAnsi="黑体" w:eastAsia="黑体" w:cs="宋体"/>
          <w:color w:val="333333"/>
          <w:kern w:val="0"/>
          <w:sz w:val="30"/>
          <w:szCs w:val="30"/>
          <w:lang w:eastAsia="zh-CN"/>
        </w:rPr>
        <w:t>学校</w:t>
      </w:r>
      <w:r>
        <w:rPr>
          <w:rFonts w:hint="eastAsia" w:ascii="黑体" w:hAnsi="黑体" w:eastAsia="黑体" w:cs="宋体"/>
          <w:color w:val="333333"/>
          <w:kern w:val="0"/>
          <w:sz w:val="30"/>
          <w:szCs w:val="30"/>
        </w:rPr>
        <w:t>教育经费投入情况。</w:t>
      </w:r>
    </w:p>
    <w:p>
      <w:pPr>
        <w:shd w:val="clear" w:color="auto" w:fill="FFFFFF"/>
        <w:spacing w:line="480" w:lineRule="auto"/>
        <w:ind w:firstLine="600" w:firstLineChars="200"/>
        <w:jc w:val="left"/>
        <w:rPr>
          <w:rFonts w:ascii="黑体" w:hAnsi="黑体" w:eastAsia="黑体" w:cs="宋体"/>
          <w:color w:val="333333"/>
          <w:kern w:val="0"/>
          <w:sz w:val="30"/>
          <w:szCs w:val="30"/>
        </w:rPr>
      </w:pPr>
      <w:r>
        <w:rPr>
          <w:rFonts w:ascii="黑体" w:hAnsi="黑体" w:eastAsia="黑体" w:cs="宋体"/>
          <w:color w:val="333333"/>
          <w:kern w:val="0"/>
          <w:sz w:val="30"/>
          <w:szCs w:val="30"/>
        </w:rPr>
        <w:t>6</w:t>
      </w:r>
      <w:r>
        <w:rPr>
          <w:rFonts w:hint="eastAsia" w:ascii="黑体" w:hAnsi="黑体" w:eastAsia="黑体" w:cs="宋体"/>
          <w:color w:val="333333"/>
          <w:kern w:val="0"/>
          <w:sz w:val="30"/>
          <w:szCs w:val="30"/>
        </w:rPr>
        <w:t>规划指导中小学校长和教师队伍管理建设工作；组织实施初中以下教师资格认定工作；统筹规划和指导教育系统人才队伍建设工作。</w:t>
      </w:r>
    </w:p>
    <w:p>
      <w:pPr>
        <w:shd w:val="clear" w:color="auto" w:fill="FFFFFF"/>
        <w:spacing w:line="480" w:lineRule="auto"/>
        <w:ind w:firstLine="600" w:firstLineChars="200"/>
        <w:jc w:val="left"/>
        <w:rPr>
          <w:rFonts w:ascii="黑体" w:hAnsi="黑体" w:eastAsia="黑体" w:cs="宋体"/>
          <w:color w:val="333333"/>
          <w:kern w:val="0"/>
          <w:sz w:val="30"/>
          <w:szCs w:val="30"/>
        </w:rPr>
      </w:pPr>
      <w:r>
        <w:rPr>
          <w:rFonts w:ascii="黑体" w:hAnsi="黑体" w:eastAsia="黑体" w:cs="宋体"/>
          <w:color w:val="333333"/>
          <w:kern w:val="0"/>
          <w:sz w:val="30"/>
          <w:szCs w:val="30"/>
        </w:rPr>
        <w:t>7</w:t>
      </w:r>
      <w:r>
        <w:rPr>
          <w:rFonts w:hint="eastAsia" w:ascii="黑体" w:hAnsi="黑体" w:eastAsia="黑体" w:cs="宋体"/>
          <w:color w:val="333333"/>
          <w:kern w:val="0"/>
          <w:sz w:val="30"/>
          <w:szCs w:val="30"/>
        </w:rPr>
        <w:t>指导所属学校思想政治教育工作，思想品德工作，体育卫生与艺术教育工作及国防教育工作，指导和检查学校安全工作。</w:t>
      </w:r>
    </w:p>
    <w:p>
      <w:pPr>
        <w:spacing w:line="540" w:lineRule="exact"/>
        <w:ind w:firstLine="600" w:firstLineChars="200"/>
        <w:jc w:val="left"/>
        <w:rPr>
          <w:rFonts w:hint="eastAsia" w:ascii="黑体" w:hAnsi="黑体" w:eastAsia="黑体" w:cs="宋体"/>
          <w:color w:val="333333"/>
          <w:kern w:val="0"/>
          <w:sz w:val="30"/>
          <w:szCs w:val="30"/>
        </w:rPr>
      </w:pPr>
      <w:r>
        <w:rPr>
          <w:rFonts w:hint="eastAsia" w:ascii="黑体" w:hAnsi="黑体" w:eastAsia="黑体" w:cs="宋体"/>
          <w:color w:val="333333"/>
          <w:kern w:val="0"/>
          <w:sz w:val="30"/>
          <w:szCs w:val="30"/>
          <w:lang w:val="en-US" w:eastAsia="zh-CN"/>
        </w:rPr>
        <w:t>8</w:t>
      </w:r>
      <w:r>
        <w:rPr>
          <w:rFonts w:hint="eastAsia" w:ascii="黑体" w:hAnsi="黑体" w:eastAsia="黑体" w:cs="宋体"/>
          <w:color w:val="333333"/>
          <w:kern w:val="0"/>
          <w:sz w:val="30"/>
          <w:szCs w:val="30"/>
        </w:rPr>
        <w:t>贯彻执行国家、省、市有关体育工作方针、政策、法律、法规，研究编制</w:t>
      </w:r>
      <w:r>
        <w:rPr>
          <w:rFonts w:hint="eastAsia" w:ascii="黑体" w:hAnsi="黑体" w:eastAsia="黑体" w:cs="宋体"/>
          <w:color w:val="333333"/>
          <w:kern w:val="0"/>
          <w:sz w:val="30"/>
          <w:szCs w:val="30"/>
          <w:lang w:eastAsia="zh-CN"/>
        </w:rPr>
        <w:t>学校</w:t>
      </w:r>
      <w:r>
        <w:rPr>
          <w:rFonts w:hint="eastAsia" w:ascii="黑体" w:hAnsi="黑体" w:eastAsia="黑体" w:cs="宋体"/>
          <w:color w:val="333333"/>
          <w:kern w:val="0"/>
          <w:sz w:val="30"/>
          <w:szCs w:val="30"/>
        </w:rPr>
        <w:t>体育事业发展规划，统筹规划</w:t>
      </w:r>
      <w:r>
        <w:rPr>
          <w:rFonts w:hint="eastAsia" w:ascii="黑体" w:hAnsi="黑体" w:eastAsia="黑体" w:cs="宋体"/>
          <w:color w:val="333333"/>
          <w:kern w:val="0"/>
          <w:sz w:val="30"/>
          <w:szCs w:val="30"/>
          <w:lang w:eastAsia="zh-CN"/>
        </w:rPr>
        <w:t>学校</w:t>
      </w:r>
      <w:r>
        <w:rPr>
          <w:rFonts w:hint="eastAsia" w:ascii="黑体" w:hAnsi="黑体" w:eastAsia="黑体" w:cs="宋体"/>
          <w:color w:val="333333"/>
          <w:kern w:val="0"/>
          <w:sz w:val="30"/>
          <w:szCs w:val="30"/>
        </w:rPr>
        <w:t>竞技体育发展及</w:t>
      </w:r>
      <w:r>
        <w:rPr>
          <w:rFonts w:hint="eastAsia" w:ascii="黑体" w:hAnsi="黑体" w:eastAsia="黑体" w:cs="宋体"/>
          <w:color w:val="333333"/>
          <w:kern w:val="0"/>
          <w:sz w:val="30"/>
          <w:szCs w:val="30"/>
          <w:lang w:eastAsia="zh-CN"/>
        </w:rPr>
        <w:t>学校</w:t>
      </w:r>
      <w:r>
        <w:rPr>
          <w:rFonts w:hint="eastAsia" w:ascii="黑体" w:hAnsi="黑体" w:eastAsia="黑体" w:cs="宋体"/>
          <w:color w:val="333333"/>
          <w:kern w:val="0"/>
          <w:sz w:val="30"/>
          <w:szCs w:val="30"/>
        </w:rPr>
        <w:t>体育运动队的设置和布局，研究拟订体育产业发展政策，发展体育市场，指导体育队伍的思想政治工作。</w:t>
      </w:r>
    </w:p>
    <w:p>
      <w:pPr>
        <w:snapToGrid/>
        <w:spacing w:before="0" w:beforeAutospacing="0" w:after="0" w:afterAutospacing="0" w:line="540" w:lineRule="exact"/>
        <w:ind w:firstLine="640" w:firstLineChars="200"/>
        <w:jc w:val="left"/>
        <w:textAlignment w:val="baseline"/>
        <w:rPr>
          <w:rStyle w:val="6"/>
          <w:rFonts w:ascii="黑体" w:eastAsia="黑体"/>
          <w:b w:val="0"/>
          <w:i w:val="0"/>
          <w:caps w:val="0"/>
          <w:spacing w:val="0"/>
          <w:w w:val="100"/>
          <w:kern w:val="2"/>
          <w:sz w:val="32"/>
          <w:szCs w:val="32"/>
          <w:lang w:val="en-US" w:eastAsia="zh-CN" w:bidi="ar-SA"/>
        </w:rPr>
      </w:pPr>
      <w:r>
        <w:rPr>
          <w:rStyle w:val="6"/>
          <w:rFonts w:ascii="黑体" w:eastAsia="黑体"/>
          <w:b w:val="0"/>
          <w:i w:val="0"/>
          <w:caps w:val="0"/>
          <w:spacing w:val="0"/>
          <w:w w:val="100"/>
          <w:kern w:val="2"/>
          <w:sz w:val="32"/>
          <w:szCs w:val="32"/>
          <w:lang w:val="en-US" w:eastAsia="zh-CN" w:bidi="ar-SA"/>
        </w:rPr>
        <w:t>二、部门决算单位构成</w:t>
      </w:r>
    </w:p>
    <w:p>
      <w:pPr>
        <w:snapToGrid/>
        <w:spacing w:before="0" w:beforeAutospacing="0" w:after="0" w:afterAutospacing="0" w:line="540" w:lineRule="exact"/>
        <w:ind w:firstLine="642" w:firstLineChars="200"/>
        <w:jc w:val="left"/>
        <w:textAlignment w:val="baseline"/>
        <w:rPr>
          <w:rStyle w:val="6"/>
          <w:rFonts w:ascii="仿宋_GB2312" w:eastAsia="仿宋_GB2312"/>
          <w:b/>
          <w:i w:val="0"/>
          <w:caps w:val="0"/>
          <w:spacing w:val="0"/>
          <w:w w:val="100"/>
          <w:kern w:val="2"/>
          <w:sz w:val="32"/>
          <w:szCs w:val="32"/>
          <w:lang w:val="en-US" w:eastAsia="zh-CN" w:bidi="ar-SA"/>
        </w:rPr>
      </w:pPr>
      <w:r>
        <w:rPr>
          <w:rStyle w:val="6"/>
          <w:rFonts w:ascii="仿宋_GB2312" w:eastAsia="仿宋_GB2312"/>
          <w:b/>
          <w:i w:val="0"/>
          <w:caps w:val="0"/>
          <w:spacing w:val="0"/>
          <w:w w:val="100"/>
          <w:kern w:val="2"/>
          <w:sz w:val="32"/>
          <w:szCs w:val="32"/>
          <w:lang w:val="en-US" w:eastAsia="zh-CN" w:bidi="ar-SA"/>
        </w:rPr>
        <w:t>纳入本溪市明山区教育局编制范围的二级预算单位包括：</w:t>
      </w:r>
    </w:p>
    <w:p>
      <w:pPr>
        <w:snapToGrid/>
        <w:spacing w:before="0" w:beforeAutospacing="0" w:after="0" w:afterAutospacing="0" w:line="540" w:lineRule="exact"/>
        <w:ind w:firstLine="640" w:firstLineChars="200"/>
        <w:jc w:val="left"/>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1.本溪市高级中学附属学校本级</w:t>
      </w:r>
    </w:p>
    <w:p>
      <w:pPr>
        <w:snapToGrid/>
        <w:spacing w:before="0" w:beforeAutospacing="0" w:after="0" w:afterAutospacing="0" w:line="540" w:lineRule="exact"/>
        <w:ind w:firstLine="640" w:firstLineChars="200"/>
        <w:jc w:val="left"/>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2.……</w:t>
      </w:r>
    </w:p>
    <w:p>
      <w:pPr>
        <w:snapToGrid/>
        <w:spacing w:before="0" w:beforeAutospacing="0" w:after="0" w:afterAutospacing="0" w:line="540" w:lineRule="exact"/>
        <w:ind w:firstLine="640" w:firstLineChars="200"/>
        <w:jc w:val="left"/>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t>3.……</w:t>
      </w:r>
    </w:p>
    <w:p>
      <w:pPr>
        <w:snapToGrid/>
        <w:spacing w:before="0" w:beforeAutospacing="0" w:after="0" w:afterAutospacing="0" w:line="540" w:lineRule="exact"/>
        <w:ind w:firstLine="640" w:firstLineChars="200"/>
        <w:jc w:val="center"/>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val="0"/>
          <w:i w:val="0"/>
          <w:caps w:val="0"/>
          <w:spacing w:val="0"/>
          <w:w w:val="100"/>
          <w:kern w:val="2"/>
          <w:sz w:val="32"/>
          <w:szCs w:val="32"/>
          <w:lang w:val="en-US" w:eastAsia="zh-CN" w:bidi="ar-SA"/>
        </w:rPr>
        <w:br w:type="page"/>
      </w:r>
    </w:p>
    <w:p>
      <w:pPr>
        <w:snapToGrid/>
        <w:spacing w:before="0" w:beforeAutospacing="0" w:after="0" w:afterAutospacing="0" w:line="540" w:lineRule="exact"/>
        <w:ind w:firstLine="722" w:firstLineChars="200"/>
        <w:jc w:val="center"/>
        <w:textAlignment w:val="baseline"/>
        <w:rPr>
          <w:rStyle w:val="6"/>
          <w:rFonts w:ascii="宋体" w:hAnsi="宋体"/>
          <w:b/>
          <w:i w:val="0"/>
          <w:caps w:val="0"/>
          <w:spacing w:val="0"/>
          <w:w w:val="100"/>
          <w:kern w:val="2"/>
          <w:sz w:val="36"/>
          <w:szCs w:val="36"/>
          <w:lang w:val="en-US" w:eastAsia="zh-CN" w:bidi="ar-SA"/>
        </w:rPr>
      </w:pPr>
      <w:r>
        <w:rPr>
          <w:rStyle w:val="6"/>
          <w:rFonts w:ascii="宋体" w:hAnsi="宋体"/>
          <w:b/>
          <w:i w:val="0"/>
          <w:caps w:val="0"/>
          <w:spacing w:val="0"/>
          <w:w w:val="100"/>
          <w:kern w:val="2"/>
          <w:sz w:val="36"/>
          <w:szCs w:val="36"/>
          <w:lang w:val="en-US" w:eastAsia="zh-CN" w:bidi="ar-SA"/>
        </w:rPr>
        <w:t>第二部分 2021年度部门决算情况说明</w:t>
      </w:r>
    </w:p>
    <w:p>
      <w:pPr>
        <w:snapToGrid/>
        <w:spacing w:before="0" w:beforeAutospacing="0" w:after="0" w:afterAutospacing="0" w:line="540" w:lineRule="exact"/>
        <w:jc w:val="both"/>
        <w:textAlignment w:val="baseline"/>
        <w:rPr>
          <w:rStyle w:val="6"/>
          <w:rFonts w:ascii="宋体" w:hAnsi="宋体"/>
          <w:b/>
          <w:i w:val="0"/>
          <w:caps w:val="0"/>
          <w:spacing w:val="0"/>
          <w:w w:val="100"/>
          <w:kern w:val="2"/>
          <w:sz w:val="36"/>
          <w:szCs w:val="36"/>
          <w:lang w:val="en-US" w:eastAsia="zh-CN" w:bidi="ar-SA"/>
        </w:rPr>
      </w:pPr>
    </w:p>
    <w:p>
      <w:pPr>
        <w:snapToGrid/>
        <w:spacing w:before="0" w:beforeAutospacing="0" w:after="0" w:afterAutospacing="0" w:line="540" w:lineRule="exact"/>
        <w:ind w:firstLine="627" w:firstLineChars="196"/>
        <w:jc w:val="both"/>
        <w:textAlignment w:val="baseline"/>
        <w:rPr>
          <w:rStyle w:val="6"/>
          <w:rFonts w:ascii="黑体" w:hAnsi="黑体" w:eastAsia="黑体"/>
          <w:b w:val="0"/>
          <w:i w:val="0"/>
          <w:caps w:val="0"/>
          <w:spacing w:val="0"/>
          <w:w w:val="100"/>
          <w:kern w:val="2"/>
          <w:sz w:val="32"/>
          <w:szCs w:val="32"/>
          <w:lang w:val="en-US" w:eastAsia="zh-CN" w:bidi="ar-SA"/>
        </w:rPr>
      </w:pPr>
      <w:r>
        <w:rPr>
          <w:rStyle w:val="6"/>
          <w:rFonts w:ascii="黑体" w:hAnsi="黑体" w:eastAsia="黑体"/>
          <w:b w:val="0"/>
          <w:i w:val="0"/>
          <w:caps w:val="0"/>
          <w:spacing w:val="0"/>
          <w:w w:val="100"/>
          <w:kern w:val="2"/>
          <w:sz w:val="32"/>
          <w:szCs w:val="32"/>
          <w:lang w:val="en-US" w:eastAsia="zh-CN" w:bidi="ar-SA"/>
        </w:rPr>
        <w:t>一、收入支出决算总体情况说明</w:t>
      </w:r>
    </w:p>
    <w:p>
      <w:pPr>
        <w:snapToGrid/>
        <w:spacing w:before="0" w:beforeAutospacing="0" w:after="0" w:afterAutospacing="0" w:line="540" w:lineRule="exact"/>
        <w:ind w:firstLine="660"/>
        <w:jc w:val="both"/>
        <w:textAlignment w:val="baseline"/>
        <w:rPr>
          <w:rStyle w:val="6"/>
          <w:rFonts w:ascii="楷体_GB2312" w:hAnsi="宋体" w:eastAsia="楷体_GB2312"/>
          <w:b/>
          <w:i w:val="0"/>
          <w:caps w:val="0"/>
          <w:spacing w:val="0"/>
          <w:w w:val="100"/>
          <w:kern w:val="2"/>
          <w:sz w:val="32"/>
          <w:szCs w:val="32"/>
          <w:lang w:val="en-US" w:eastAsia="zh-CN" w:bidi="ar-SA"/>
        </w:rPr>
      </w:pPr>
      <w:r>
        <w:rPr>
          <w:rStyle w:val="6"/>
          <w:rFonts w:ascii="楷体_GB2312" w:hAnsi="宋体" w:eastAsia="楷体_GB2312"/>
          <w:b/>
          <w:i w:val="0"/>
          <w:caps w:val="0"/>
          <w:spacing w:val="0"/>
          <w:w w:val="100"/>
          <w:kern w:val="2"/>
          <w:sz w:val="32"/>
          <w:szCs w:val="32"/>
          <w:lang w:val="en-US" w:eastAsia="zh-CN" w:bidi="ar-SA"/>
        </w:rPr>
        <w:t>（一）收入总计911.94万元，包括：</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1.财政拨款收入911.94万元，占收入总计的100%。其中：一般公共预算财政拨款收入911.94万元，政府性基金收入</w:t>
      </w:r>
      <w:r>
        <w:rPr>
          <w:rStyle w:val="6"/>
          <w:rFonts w:ascii="楷体_GB2312" w:hAnsi="宋体" w:eastAsia="楷体_GB2312"/>
          <w:b/>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万元，国有资本经营预算财政拨款收入</w:t>
      </w:r>
      <w:r>
        <w:rPr>
          <w:rStyle w:val="6"/>
          <w:rFonts w:ascii="楷体_GB2312" w:hAnsi="宋体" w:eastAsia="楷体_GB2312"/>
          <w:b/>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2.上级补助收入</w:t>
      </w:r>
      <w:r>
        <w:rPr>
          <w:rStyle w:val="6"/>
          <w:rFonts w:ascii="楷体_GB2312" w:hAnsi="宋体" w:eastAsia="楷体_GB2312"/>
          <w:b/>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万元，占收入总计的0%。</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3.事业收入</w:t>
      </w:r>
      <w:r>
        <w:rPr>
          <w:rStyle w:val="6"/>
          <w:rFonts w:ascii="楷体_GB2312" w:hAnsi="宋体" w:eastAsia="楷体_GB2312"/>
          <w:b/>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万元，占收入总计的XX%。主要是XX等收入。</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4.经营收入</w:t>
      </w:r>
      <w:r>
        <w:rPr>
          <w:rStyle w:val="6"/>
          <w:rFonts w:ascii="楷体_GB2312" w:hAnsi="宋体" w:eastAsia="楷体_GB2312"/>
          <w:b/>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万元，占收入总计的0%。</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5.附属单位上缴收入0万元，占收入总计的0%。</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6.其他收入0万元，占收入总计的0%。</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7.使用非财政拨款结余0万元，占收入总计的0%。</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8.上年结转和结余</w:t>
      </w:r>
      <w:r>
        <w:rPr>
          <w:rStyle w:val="6"/>
          <w:rFonts w:ascii="楷体_GB2312" w:hAnsi="宋体" w:eastAsia="楷体_GB2312"/>
          <w:b/>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万元，占收入总计的XX%。主要是XX等。</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与上年相比，今年收入增加896.26万元，增长99%，主要原因：</w:t>
      </w:r>
      <w:r>
        <w:rPr>
          <w:rStyle w:val="6"/>
          <w:rFonts w:ascii="黑体" w:hAnsi="黑体" w:eastAsia="黑体"/>
          <w:b w:val="0"/>
          <w:i w:val="0"/>
          <w:caps w:val="0"/>
          <w:spacing w:val="0"/>
          <w:w w:val="100"/>
          <w:kern w:val="2"/>
          <w:sz w:val="32"/>
          <w:szCs w:val="32"/>
          <w:lang w:val="en-US" w:eastAsia="zh-CN" w:bidi="ar-SA"/>
        </w:rPr>
        <w:t>一是本年度财政拨款收入增加。</w:t>
      </w:r>
    </w:p>
    <w:p>
      <w:pPr>
        <w:snapToGrid/>
        <w:spacing w:before="0" w:beforeAutospacing="0" w:after="0" w:afterAutospacing="0" w:line="540" w:lineRule="exact"/>
        <w:ind w:firstLine="660"/>
        <w:jc w:val="both"/>
        <w:textAlignment w:val="baseline"/>
        <w:rPr>
          <w:rStyle w:val="6"/>
          <w:rFonts w:ascii="楷体_GB2312" w:hAnsi="宋体" w:eastAsia="楷体_GB2312"/>
          <w:b/>
          <w:i w:val="0"/>
          <w:caps w:val="0"/>
          <w:spacing w:val="0"/>
          <w:w w:val="100"/>
          <w:kern w:val="2"/>
          <w:sz w:val="32"/>
          <w:szCs w:val="32"/>
          <w:lang w:val="en-US" w:eastAsia="zh-CN" w:bidi="ar-SA"/>
        </w:rPr>
      </w:pPr>
      <w:r>
        <w:rPr>
          <w:rStyle w:val="6"/>
          <w:rFonts w:ascii="楷体_GB2312" w:hAnsi="宋体" w:eastAsia="楷体_GB2312"/>
          <w:b/>
          <w:i w:val="0"/>
          <w:caps w:val="0"/>
          <w:spacing w:val="0"/>
          <w:w w:val="100"/>
          <w:kern w:val="2"/>
          <w:sz w:val="32"/>
          <w:szCs w:val="32"/>
          <w:lang w:val="en-US" w:eastAsia="zh-CN" w:bidi="ar-SA"/>
        </w:rPr>
        <w:t>（二）支出总计911.94万元，包括：</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1.基本支出785.92万元，占支出总计的87%。主要是为保障机构正常运转、完成日常工作任务而发生的各项支出，其中：工资福利支出406.98万元，对个人和家庭的补助支出0万元，商品和服务支出378.94万元。</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2.项目支出126.02万元，占支出总计的13%。主要包括XX等业务支出。</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3.上缴上级支出0万元，占支出总计的0%。</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4.经营支出0万元，占支出总计的0%。</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5.对附属单位补助支出0万元，占支出总计的0%。</w:t>
      </w:r>
    </w:p>
    <w:p>
      <w:pPr>
        <w:snapToGrid/>
        <w:spacing w:before="0" w:beforeAutospacing="0" w:after="0" w:afterAutospacing="0" w:line="240" w:lineRule="auto"/>
        <w:jc w:val="both"/>
        <w:textAlignment w:val="baseline"/>
        <w:rPr>
          <w:rStyle w:val="6"/>
          <w:rFonts w:ascii="宋体" w:hAnsi="宋体"/>
          <w:b w:val="0"/>
          <w:i w:val="0"/>
          <w:caps w:val="0"/>
          <w:color w:val="000000"/>
          <w:spacing w:val="0"/>
          <w:w w:val="100"/>
          <w:kern w:val="0"/>
          <w:sz w:val="22"/>
          <w:szCs w:val="22"/>
          <w:lang w:val="en-US" w:eastAsia="zh-CN" w:bidi="ar-SA"/>
        </w:rPr>
      </w:pPr>
      <w:r>
        <w:rPr>
          <w:rStyle w:val="6"/>
          <w:rFonts w:ascii="仿宋_GB2312" w:hAnsi="宋体" w:eastAsia="仿宋_GB2312"/>
          <w:b w:val="0"/>
          <w:i w:val="0"/>
          <w:caps w:val="0"/>
          <w:spacing w:val="0"/>
          <w:w w:val="100"/>
          <w:kern w:val="2"/>
          <w:sz w:val="32"/>
          <w:szCs w:val="32"/>
          <w:lang w:val="en-US" w:eastAsia="zh-CN" w:bidi="ar-SA"/>
        </w:rPr>
        <w:t>与上年相比，今年支出增加896.26万元，增长99%，主要原因：</w:t>
      </w:r>
      <w:r>
        <w:rPr>
          <w:rStyle w:val="6"/>
          <w:rFonts w:ascii="宋体" w:hAnsi="宋体"/>
          <w:b w:val="0"/>
          <w:i w:val="0"/>
          <w:caps w:val="0"/>
          <w:color w:val="000000"/>
          <w:spacing w:val="0"/>
          <w:w w:val="100"/>
          <w:kern w:val="0"/>
          <w:sz w:val="22"/>
          <w:szCs w:val="22"/>
          <w:lang w:val="en-US" w:eastAsia="zh-CN" w:bidi="ar-SA"/>
        </w:rPr>
        <w:t>本年度财政拨款支出增加</w:t>
      </w:r>
    </w:p>
    <w:p>
      <w:pPr>
        <w:snapToGrid/>
        <w:spacing w:before="0" w:beforeAutospacing="0" w:after="0" w:afterAutospacing="0" w:line="540" w:lineRule="exact"/>
        <w:jc w:val="both"/>
        <w:textAlignment w:val="baseline"/>
        <w:rPr>
          <w:rStyle w:val="6"/>
          <w:rFonts w:ascii="仿宋_GB2312" w:hAnsi="宋体" w:eastAsia="仿宋_GB2312"/>
          <w:b w:val="0"/>
          <w:i w:val="0"/>
          <w:caps w:val="0"/>
          <w:spacing w:val="0"/>
          <w:w w:val="100"/>
          <w:kern w:val="2"/>
          <w:sz w:val="32"/>
          <w:szCs w:val="32"/>
          <w:lang w:val="en-US" w:eastAsia="zh-CN" w:bidi="ar-SA"/>
        </w:rPr>
      </w:pPr>
    </w:p>
    <w:p>
      <w:pPr>
        <w:snapToGrid/>
        <w:spacing w:before="0" w:beforeAutospacing="0" w:after="0" w:afterAutospacing="0" w:line="540" w:lineRule="exact"/>
        <w:ind w:firstLine="660"/>
        <w:jc w:val="both"/>
        <w:textAlignment w:val="baseline"/>
        <w:rPr>
          <w:rStyle w:val="6"/>
          <w:rFonts w:ascii="楷体_GB2312" w:hAnsi="宋体" w:eastAsia="楷体_GB2312"/>
          <w:b/>
          <w:i w:val="0"/>
          <w:caps w:val="0"/>
          <w:spacing w:val="0"/>
          <w:w w:val="100"/>
          <w:kern w:val="2"/>
          <w:sz w:val="32"/>
          <w:szCs w:val="32"/>
          <w:lang w:val="en-US" w:eastAsia="zh-CN" w:bidi="ar-SA"/>
        </w:rPr>
      </w:pPr>
      <w:r>
        <w:rPr>
          <w:rStyle w:val="6"/>
          <w:rFonts w:ascii="楷体_GB2312" w:hAnsi="宋体" w:eastAsia="楷体_GB2312"/>
          <w:b/>
          <w:i w:val="0"/>
          <w:caps w:val="0"/>
          <w:spacing w:val="0"/>
          <w:w w:val="100"/>
          <w:kern w:val="2"/>
          <w:sz w:val="32"/>
          <w:szCs w:val="32"/>
          <w:lang w:val="en-US" w:eastAsia="zh-CN" w:bidi="ar-SA"/>
        </w:rPr>
        <w:t>（三）年末结转和结余0万元。</w:t>
      </w:r>
    </w:p>
    <w:p>
      <w:pPr>
        <w:snapToGrid/>
        <w:spacing w:before="0" w:beforeAutospacing="0" w:after="0" w:afterAutospacing="0" w:line="240" w:lineRule="auto"/>
        <w:jc w:val="both"/>
        <w:textAlignment w:val="baseline"/>
        <w:rPr>
          <w:rStyle w:val="6"/>
          <w:rFonts w:ascii="宋体" w:hAnsi="宋体"/>
          <w:b w:val="0"/>
          <w:i w:val="0"/>
          <w:caps w:val="0"/>
          <w:color w:val="000000"/>
          <w:spacing w:val="0"/>
          <w:w w:val="100"/>
          <w:kern w:val="0"/>
          <w:sz w:val="22"/>
          <w:szCs w:val="22"/>
          <w:lang w:val="en-US" w:eastAsia="zh-CN" w:bidi="ar-SA"/>
        </w:rPr>
      </w:pPr>
      <w:r>
        <w:rPr>
          <w:rStyle w:val="6"/>
          <w:rFonts w:ascii="仿宋_GB2312" w:hAnsi="宋体" w:eastAsia="仿宋_GB2312"/>
          <w:b w:val="0"/>
          <w:i w:val="0"/>
          <w:caps w:val="0"/>
          <w:spacing w:val="0"/>
          <w:w w:val="100"/>
          <w:kern w:val="2"/>
          <w:sz w:val="32"/>
          <w:szCs w:val="32"/>
          <w:lang w:val="en-US" w:eastAsia="zh-CN" w:bidi="ar-SA"/>
        </w:rPr>
        <w:t>与上年相比，今年结转结余增加（减少）</w:t>
      </w:r>
      <w:r>
        <w:rPr>
          <w:rStyle w:val="6"/>
          <w:rFonts w:hint="eastAsia" w:ascii="仿宋_GB2312" w:hAnsi="宋体" w:eastAsia="仿宋_GB2312"/>
          <w:b w:val="0"/>
          <w:i w:val="0"/>
          <w:caps w:val="0"/>
          <w:spacing w:val="0"/>
          <w:w w:val="100"/>
          <w:kern w:val="2"/>
          <w:sz w:val="32"/>
          <w:szCs w:val="32"/>
          <w:lang w:val="en-US" w:eastAsia="zh-CN" w:bidi="ar-SA"/>
        </w:rPr>
        <w:t>0。</w:t>
      </w:r>
    </w:p>
    <w:p>
      <w:pPr>
        <w:snapToGrid/>
        <w:spacing w:before="0" w:beforeAutospacing="0" w:after="0" w:afterAutospacing="0" w:line="540" w:lineRule="exact"/>
        <w:ind w:firstLine="660"/>
        <w:jc w:val="both"/>
        <w:textAlignment w:val="baseline"/>
        <w:rPr>
          <w:rStyle w:val="6"/>
          <w:rFonts w:ascii="黑体" w:hAnsi="黑体" w:eastAsia="黑体"/>
          <w:b w:val="0"/>
          <w:i w:val="0"/>
          <w:caps w:val="0"/>
          <w:spacing w:val="0"/>
          <w:w w:val="100"/>
          <w:kern w:val="2"/>
          <w:sz w:val="32"/>
          <w:szCs w:val="32"/>
          <w:lang w:val="en-US" w:eastAsia="zh-CN" w:bidi="ar-SA"/>
        </w:rPr>
      </w:pPr>
      <w:r>
        <w:rPr>
          <w:rStyle w:val="6"/>
          <w:rFonts w:ascii="黑体" w:hAnsi="黑体" w:eastAsia="黑体"/>
          <w:b w:val="0"/>
          <w:i w:val="0"/>
          <w:caps w:val="0"/>
          <w:spacing w:val="0"/>
          <w:w w:val="100"/>
          <w:kern w:val="2"/>
          <w:sz w:val="32"/>
          <w:szCs w:val="32"/>
          <w:lang w:val="en-US" w:eastAsia="zh-CN" w:bidi="ar-SA"/>
        </w:rPr>
        <w:t>二、财政拨款支出决算情况说明</w:t>
      </w:r>
    </w:p>
    <w:p>
      <w:pPr>
        <w:snapToGrid/>
        <w:spacing w:before="0" w:beforeAutospacing="0" w:after="0" w:afterAutospacing="0" w:line="540" w:lineRule="exact"/>
        <w:ind w:firstLine="660"/>
        <w:jc w:val="both"/>
        <w:textAlignment w:val="baseline"/>
        <w:rPr>
          <w:rStyle w:val="6"/>
          <w:rFonts w:ascii="楷体_GB2312" w:hAnsi="宋体" w:eastAsia="楷体_GB2312"/>
          <w:b/>
          <w:i w:val="0"/>
          <w:caps w:val="0"/>
          <w:spacing w:val="0"/>
          <w:w w:val="100"/>
          <w:kern w:val="2"/>
          <w:sz w:val="32"/>
          <w:szCs w:val="32"/>
          <w:lang w:val="en-US" w:eastAsia="zh-CN" w:bidi="ar-SA"/>
        </w:rPr>
      </w:pPr>
      <w:r>
        <w:rPr>
          <w:rStyle w:val="6"/>
          <w:rFonts w:ascii="楷体_GB2312" w:hAnsi="宋体" w:eastAsia="楷体_GB2312"/>
          <w:b/>
          <w:i w:val="0"/>
          <w:caps w:val="0"/>
          <w:spacing w:val="0"/>
          <w:w w:val="100"/>
          <w:kern w:val="2"/>
          <w:sz w:val="32"/>
          <w:szCs w:val="32"/>
          <w:lang w:val="en-US" w:eastAsia="zh-CN" w:bidi="ar-SA"/>
        </w:rPr>
        <w:t>（一）总体情况。</w:t>
      </w:r>
    </w:p>
    <w:p>
      <w:pPr>
        <w:snapToGrid/>
        <w:spacing w:before="0" w:beforeAutospacing="0" w:after="0" w:afterAutospacing="0" w:line="240" w:lineRule="auto"/>
        <w:jc w:val="both"/>
        <w:textAlignment w:val="baseline"/>
        <w:rPr>
          <w:rStyle w:val="6"/>
          <w:rFonts w:ascii="宋体" w:hAnsi="宋体"/>
          <w:b w:val="0"/>
          <w:i w:val="0"/>
          <w:caps w:val="0"/>
          <w:color w:val="000000"/>
          <w:spacing w:val="0"/>
          <w:w w:val="100"/>
          <w:kern w:val="0"/>
          <w:sz w:val="22"/>
          <w:szCs w:val="22"/>
          <w:lang w:val="en-US" w:eastAsia="zh-CN" w:bidi="ar-SA"/>
        </w:rPr>
      </w:pPr>
      <w:r>
        <w:rPr>
          <w:rStyle w:val="6"/>
          <w:rFonts w:ascii="仿宋_GB2312" w:hAnsi="宋体" w:eastAsia="仿宋_GB2312"/>
          <w:b w:val="0"/>
          <w:i w:val="0"/>
          <w:caps w:val="0"/>
          <w:spacing w:val="0"/>
          <w:w w:val="100"/>
          <w:kern w:val="2"/>
          <w:sz w:val="32"/>
          <w:szCs w:val="32"/>
          <w:lang w:val="en-US" w:eastAsia="zh-CN" w:bidi="ar-SA"/>
        </w:rPr>
        <w:t>2021年度财政拨款支出911.94万元，其中：基本支出785.92万元，项目支出126.02万元。与上年相比，财政拨款支出增加896.26万元，增长99%，主要原因：</w:t>
      </w:r>
      <w:r>
        <w:rPr>
          <w:rStyle w:val="6"/>
          <w:rFonts w:ascii="宋体" w:hAnsi="宋体"/>
          <w:b w:val="0"/>
          <w:i w:val="0"/>
          <w:caps w:val="0"/>
          <w:color w:val="000000"/>
          <w:spacing w:val="0"/>
          <w:w w:val="100"/>
          <w:kern w:val="0"/>
          <w:sz w:val="22"/>
          <w:szCs w:val="22"/>
          <w:lang w:val="en-US" w:eastAsia="zh-CN" w:bidi="ar-SA"/>
        </w:rPr>
        <w:t>本年度财政拨款支出增加</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与年初预算相比，2021年度财政拨款支出完成年初预算的92%，其中：基本支出完成年初预算的79%，项目完成年初预算的13%。</w:t>
      </w:r>
    </w:p>
    <w:p>
      <w:pPr>
        <w:snapToGrid/>
        <w:spacing w:before="0" w:beforeAutospacing="0" w:after="0" w:afterAutospacing="0" w:line="540" w:lineRule="exact"/>
        <w:ind w:firstLine="660"/>
        <w:jc w:val="both"/>
        <w:textAlignment w:val="baseline"/>
        <w:rPr>
          <w:rStyle w:val="6"/>
          <w:rFonts w:ascii="楷体_GB2312" w:hAnsi="宋体" w:eastAsia="楷体_GB2312"/>
          <w:b/>
          <w:i w:val="0"/>
          <w:caps w:val="0"/>
          <w:spacing w:val="0"/>
          <w:w w:val="100"/>
          <w:kern w:val="2"/>
          <w:sz w:val="32"/>
          <w:szCs w:val="32"/>
          <w:lang w:val="en-US" w:eastAsia="zh-CN" w:bidi="ar-SA"/>
        </w:rPr>
      </w:pPr>
      <w:r>
        <w:rPr>
          <w:rStyle w:val="6"/>
          <w:rFonts w:ascii="楷体_GB2312" w:hAnsi="宋体" w:eastAsia="楷体_GB2312"/>
          <w:b/>
          <w:i w:val="0"/>
          <w:caps w:val="0"/>
          <w:spacing w:val="0"/>
          <w:w w:val="100"/>
          <w:kern w:val="2"/>
          <w:sz w:val="32"/>
          <w:szCs w:val="32"/>
          <w:lang w:val="en-US" w:eastAsia="zh-CN" w:bidi="ar-SA"/>
        </w:rPr>
        <w:t>（二）一般公共预算财政拨款支出情况。</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2021年度一般公共预算财政拨款支出911.94万元，按支出功能分类科目分，包括:</w:t>
      </w:r>
      <w:r>
        <w:rPr>
          <w:rStyle w:val="6"/>
          <w:rFonts w:hint="eastAsia" w:ascii="仿宋_GB2312" w:hAnsi="宋体" w:eastAsia="仿宋_GB2312"/>
          <w:b w:val="0"/>
          <w:i w:val="0"/>
          <w:caps w:val="0"/>
          <w:spacing w:val="0"/>
          <w:w w:val="100"/>
          <w:kern w:val="2"/>
          <w:sz w:val="32"/>
          <w:szCs w:val="32"/>
          <w:lang w:val="en-US" w:eastAsia="zh-CN" w:bidi="ar-SA"/>
        </w:rPr>
        <w:t>教育</w:t>
      </w:r>
      <w:r>
        <w:rPr>
          <w:rStyle w:val="6"/>
          <w:rFonts w:ascii="仿宋_GB2312" w:hAnsi="宋体" w:eastAsia="仿宋_GB2312"/>
          <w:b w:val="0"/>
          <w:i w:val="0"/>
          <w:caps w:val="0"/>
          <w:spacing w:val="0"/>
          <w:w w:val="100"/>
          <w:kern w:val="2"/>
          <w:sz w:val="32"/>
          <w:szCs w:val="32"/>
          <w:lang w:val="en-US" w:eastAsia="zh-CN" w:bidi="ar-SA"/>
        </w:rPr>
        <w:t>支出</w:t>
      </w:r>
      <w:r>
        <w:rPr>
          <w:rStyle w:val="6"/>
          <w:rFonts w:hint="eastAsia" w:ascii="仿宋_GB2312" w:hAnsi="宋体" w:eastAsia="仿宋_GB2312"/>
          <w:b w:val="0"/>
          <w:i w:val="0"/>
          <w:caps w:val="0"/>
          <w:spacing w:val="0"/>
          <w:w w:val="100"/>
          <w:kern w:val="2"/>
          <w:sz w:val="32"/>
          <w:szCs w:val="32"/>
          <w:lang w:val="en-US" w:eastAsia="zh-CN" w:bidi="ar-SA"/>
        </w:rPr>
        <w:t>853.03</w:t>
      </w:r>
      <w:r>
        <w:rPr>
          <w:rStyle w:val="6"/>
          <w:rFonts w:ascii="仿宋_GB2312" w:hAnsi="宋体" w:eastAsia="仿宋_GB2312"/>
          <w:b w:val="0"/>
          <w:i w:val="0"/>
          <w:caps w:val="0"/>
          <w:spacing w:val="0"/>
          <w:w w:val="100"/>
          <w:kern w:val="2"/>
          <w:sz w:val="32"/>
          <w:szCs w:val="32"/>
          <w:lang w:val="en-US" w:eastAsia="zh-CN" w:bidi="ar-SA"/>
        </w:rPr>
        <w:t>万元，占</w:t>
      </w:r>
      <w:r>
        <w:rPr>
          <w:rStyle w:val="6"/>
          <w:rFonts w:hint="eastAsia" w:ascii="仿宋_GB2312" w:hAnsi="宋体" w:eastAsia="仿宋_GB2312"/>
          <w:b w:val="0"/>
          <w:i w:val="0"/>
          <w:caps w:val="0"/>
          <w:spacing w:val="0"/>
          <w:w w:val="100"/>
          <w:kern w:val="2"/>
          <w:sz w:val="32"/>
          <w:szCs w:val="32"/>
          <w:lang w:val="en-US" w:eastAsia="zh-CN" w:bidi="ar-SA"/>
        </w:rPr>
        <w:t>93.54</w:t>
      </w:r>
      <w:r>
        <w:rPr>
          <w:rStyle w:val="6"/>
          <w:rFonts w:ascii="仿宋_GB2312" w:hAnsi="宋体" w:eastAsia="仿宋_GB2312"/>
          <w:b w:val="0"/>
          <w:i w:val="0"/>
          <w:caps w:val="0"/>
          <w:spacing w:val="0"/>
          <w:w w:val="100"/>
          <w:kern w:val="2"/>
          <w:sz w:val="32"/>
          <w:szCs w:val="32"/>
          <w:lang w:val="en-US" w:eastAsia="zh-CN" w:bidi="ar-SA"/>
        </w:rPr>
        <w:t>%；</w:t>
      </w:r>
      <w:r>
        <w:rPr>
          <w:rStyle w:val="6"/>
          <w:rFonts w:hint="eastAsia" w:ascii="仿宋_GB2312" w:hAnsi="宋体" w:eastAsia="仿宋_GB2312"/>
          <w:b w:val="0"/>
          <w:i w:val="0"/>
          <w:caps w:val="0"/>
          <w:spacing w:val="0"/>
          <w:w w:val="100"/>
          <w:kern w:val="2"/>
          <w:sz w:val="32"/>
          <w:szCs w:val="32"/>
          <w:lang w:val="en-US" w:eastAsia="zh-CN" w:bidi="ar-SA"/>
        </w:rPr>
        <w:t>住房保障支出58.91万元，占6.46%</w:t>
      </w:r>
      <w:r>
        <w:rPr>
          <w:rStyle w:val="6"/>
          <w:rFonts w:ascii="仿宋_GB2312" w:hAnsi="宋体" w:eastAsia="仿宋_GB2312"/>
          <w:b w:val="0"/>
          <w:i w:val="0"/>
          <w:caps w:val="0"/>
          <w:spacing w:val="0"/>
          <w:w w:val="100"/>
          <w:kern w:val="2"/>
          <w:sz w:val="32"/>
          <w:szCs w:val="32"/>
          <w:lang w:val="en-US" w:eastAsia="zh-CN" w:bidi="ar-SA"/>
        </w:rPr>
        <w:t>。</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1.</w:t>
      </w:r>
      <w:r>
        <w:rPr>
          <w:rStyle w:val="6"/>
          <w:rFonts w:hint="eastAsia" w:ascii="仿宋_GB2312" w:hAnsi="宋体" w:eastAsia="仿宋_GB2312"/>
          <w:b w:val="0"/>
          <w:i w:val="0"/>
          <w:caps w:val="0"/>
          <w:spacing w:val="0"/>
          <w:w w:val="100"/>
          <w:kern w:val="2"/>
          <w:sz w:val="32"/>
          <w:szCs w:val="32"/>
          <w:lang w:val="en-US" w:eastAsia="zh-CN" w:bidi="ar-SA"/>
        </w:rPr>
        <w:t>教育</w:t>
      </w:r>
      <w:r>
        <w:rPr>
          <w:rStyle w:val="6"/>
          <w:rFonts w:ascii="仿宋_GB2312" w:hAnsi="宋体" w:eastAsia="仿宋_GB2312"/>
          <w:b w:val="0"/>
          <w:i w:val="0"/>
          <w:caps w:val="0"/>
          <w:spacing w:val="0"/>
          <w:w w:val="100"/>
          <w:kern w:val="2"/>
          <w:sz w:val="32"/>
          <w:szCs w:val="32"/>
          <w:lang w:val="en-US" w:eastAsia="zh-CN" w:bidi="ar-SA"/>
        </w:rPr>
        <w:t>支出</w:t>
      </w:r>
      <w:r>
        <w:rPr>
          <w:rStyle w:val="6"/>
          <w:rFonts w:hint="eastAsia" w:ascii="仿宋_GB2312" w:hAnsi="宋体" w:eastAsia="仿宋_GB2312"/>
          <w:b w:val="0"/>
          <w:i w:val="0"/>
          <w:caps w:val="0"/>
          <w:spacing w:val="0"/>
          <w:w w:val="100"/>
          <w:kern w:val="2"/>
          <w:sz w:val="32"/>
          <w:szCs w:val="32"/>
          <w:lang w:val="en-US" w:eastAsia="zh-CN" w:bidi="ar-SA"/>
        </w:rPr>
        <w:t>853.03</w:t>
      </w:r>
      <w:r>
        <w:rPr>
          <w:rStyle w:val="6"/>
          <w:rFonts w:ascii="仿宋_GB2312" w:hAnsi="宋体" w:eastAsia="仿宋_GB2312"/>
          <w:b w:val="0"/>
          <w:i w:val="0"/>
          <w:caps w:val="0"/>
          <w:spacing w:val="0"/>
          <w:w w:val="100"/>
          <w:kern w:val="2"/>
          <w:sz w:val="32"/>
          <w:szCs w:val="32"/>
          <w:lang w:val="en-US" w:eastAsia="zh-CN" w:bidi="ar-SA"/>
        </w:rPr>
        <w:t>万元，具体包括：</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（1）</w:t>
      </w:r>
      <w:r>
        <w:rPr>
          <w:rStyle w:val="6"/>
          <w:rFonts w:hint="eastAsia" w:ascii="仿宋_GB2312" w:hAnsi="宋体" w:eastAsia="仿宋_GB2312"/>
          <w:b w:val="0"/>
          <w:i w:val="0"/>
          <w:caps w:val="0"/>
          <w:spacing w:val="0"/>
          <w:w w:val="100"/>
          <w:kern w:val="2"/>
          <w:sz w:val="32"/>
          <w:szCs w:val="32"/>
          <w:lang w:val="en-US" w:eastAsia="zh-CN" w:bidi="ar-SA"/>
        </w:rPr>
        <w:t>普通教育853.03</w:t>
      </w:r>
      <w:r>
        <w:rPr>
          <w:rStyle w:val="6"/>
          <w:rFonts w:ascii="仿宋_GB2312" w:hAnsi="宋体" w:eastAsia="仿宋_GB2312"/>
          <w:b w:val="0"/>
          <w:i w:val="0"/>
          <w:caps w:val="0"/>
          <w:spacing w:val="0"/>
          <w:w w:val="100"/>
          <w:kern w:val="2"/>
          <w:sz w:val="32"/>
          <w:szCs w:val="32"/>
          <w:lang w:val="en-US" w:eastAsia="zh-CN" w:bidi="ar-SA"/>
        </w:rPr>
        <w:t>万元，主要是</w:t>
      </w:r>
      <w:r>
        <w:rPr>
          <w:rStyle w:val="6"/>
          <w:rFonts w:hint="eastAsia" w:ascii="仿宋_GB2312" w:hAnsi="宋体" w:eastAsia="仿宋_GB2312"/>
          <w:b w:val="0"/>
          <w:i w:val="0"/>
          <w:caps w:val="0"/>
          <w:spacing w:val="0"/>
          <w:w w:val="100"/>
          <w:kern w:val="2"/>
          <w:sz w:val="32"/>
          <w:szCs w:val="32"/>
          <w:lang w:val="en-US" w:eastAsia="zh-CN" w:bidi="ar-SA"/>
        </w:rPr>
        <w:t>小学、初中教育</w:t>
      </w:r>
      <w:r>
        <w:rPr>
          <w:rStyle w:val="6"/>
          <w:rFonts w:ascii="仿宋_GB2312" w:hAnsi="宋体" w:eastAsia="仿宋_GB2312"/>
          <w:b w:val="0"/>
          <w:i w:val="0"/>
          <w:caps w:val="0"/>
          <w:spacing w:val="0"/>
          <w:w w:val="100"/>
          <w:kern w:val="2"/>
          <w:sz w:val="32"/>
          <w:szCs w:val="32"/>
          <w:lang w:val="en-US" w:eastAsia="zh-CN" w:bidi="ar-SA"/>
        </w:rPr>
        <w:t>等支出，完成年初预算的</w:t>
      </w:r>
      <w:r>
        <w:rPr>
          <w:rStyle w:val="6"/>
          <w:rFonts w:hint="eastAsia" w:ascii="仿宋_GB2312" w:hAnsi="宋体" w:eastAsia="仿宋_GB2312"/>
          <w:b w:val="0"/>
          <w:i w:val="0"/>
          <w:caps w:val="0"/>
          <w:spacing w:val="0"/>
          <w:w w:val="100"/>
          <w:kern w:val="2"/>
          <w:sz w:val="32"/>
          <w:szCs w:val="32"/>
          <w:lang w:val="en-US" w:eastAsia="zh-CN" w:bidi="ar-SA"/>
        </w:rPr>
        <w:t>90.75</w:t>
      </w:r>
      <w:r>
        <w:rPr>
          <w:rStyle w:val="6"/>
          <w:rFonts w:ascii="仿宋_GB2312" w:hAnsi="宋体" w:eastAsia="仿宋_GB2312"/>
          <w:b w:val="0"/>
          <w:i w:val="0"/>
          <w:caps w:val="0"/>
          <w:spacing w:val="0"/>
          <w:w w:val="100"/>
          <w:kern w:val="2"/>
          <w:sz w:val="32"/>
          <w:szCs w:val="32"/>
          <w:lang w:val="en-US" w:eastAsia="zh-CN" w:bidi="ar-SA"/>
        </w:rPr>
        <w:t>%，决算数小于年初预算数的原因主要是</w:t>
      </w:r>
      <w:r>
        <w:rPr>
          <w:rStyle w:val="6"/>
          <w:rFonts w:hint="eastAsia" w:ascii="仿宋_GB2312" w:hAnsi="宋体" w:eastAsia="仿宋_GB2312"/>
          <w:b w:val="0"/>
          <w:i w:val="0"/>
          <w:caps w:val="0"/>
          <w:spacing w:val="0"/>
          <w:w w:val="100"/>
          <w:kern w:val="2"/>
          <w:sz w:val="32"/>
          <w:szCs w:val="32"/>
          <w:lang w:val="en-US" w:eastAsia="zh-CN" w:bidi="ar-SA"/>
        </w:rPr>
        <w:t>压缩支出</w:t>
      </w:r>
      <w:r>
        <w:rPr>
          <w:rStyle w:val="6"/>
          <w:rFonts w:ascii="仿宋_GB2312" w:hAnsi="宋体" w:eastAsia="仿宋_GB2312"/>
          <w:b w:val="0"/>
          <w:i w:val="0"/>
          <w:caps w:val="0"/>
          <w:spacing w:val="0"/>
          <w:w w:val="100"/>
          <w:kern w:val="2"/>
          <w:sz w:val="32"/>
          <w:szCs w:val="32"/>
          <w:lang w:val="en-US" w:eastAsia="zh-CN" w:bidi="ar-SA"/>
        </w:rPr>
        <w:t>。</w:t>
      </w:r>
    </w:p>
    <w:p>
      <w:pPr>
        <w:snapToGrid/>
        <w:spacing w:before="0" w:beforeAutospacing="0" w:after="0" w:afterAutospacing="0" w:line="540" w:lineRule="exact"/>
        <w:ind w:firstLine="660"/>
        <w:jc w:val="both"/>
        <w:textAlignment w:val="baseline"/>
        <w:rPr>
          <w:rStyle w:val="6"/>
          <w:rFonts w:hint="eastAsia"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2.</w:t>
      </w:r>
      <w:r>
        <w:rPr>
          <w:rStyle w:val="6"/>
          <w:rFonts w:hint="eastAsia" w:ascii="仿宋_GB2312" w:hAnsi="宋体" w:eastAsia="仿宋_GB2312"/>
          <w:b w:val="0"/>
          <w:i w:val="0"/>
          <w:caps w:val="0"/>
          <w:spacing w:val="0"/>
          <w:w w:val="100"/>
          <w:kern w:val="2"/>
          <w:sz w:val="32"/>
          <w:szCs w:val="32"/>
          <w:lang w:val="en-US" w:eastAsia="zh-CN" w:bidi="ar-SA"/>
        </w:rPr>
        <w:t>住房保障支出58.91万元，具体包括：</w:t>
      </w:r>
    </w:p>
    <w:p>
      <w:pPr>
        <w:snapToGrid/>
        <w:spacing w:before="0" w:beforeAutospacing="0" w:after="0" w:afterAutospacing="0" w:line="540" w:lineRule="exact"/>
        <w:ind w:firstLine="660"/>
        <w:jc w:val="both"/>
        <w:textAlignment w:val="baseline"/>
        <w:rPr>
          <w:rStyle w:val="6"/>
          <w:rFonts w:hint="default" w:ascii="仿宋_GB2312" w:hAnsi="宋体" w:eastAsia="仿宋_GB2312"/>
          <w:b w:val="0"/>
          <w:i w:val="0"/>
          <w:caps w:val="0"/>
          <w:spacing w:val="0"/>
          <w:w w:val="100"/>
          <w:kern w:val="2"/>
          <w:sz w:val="32"/>
          <w:szCs w:val="32"/>
          <w:lang w:val="en-US" w:eastAsia="zh-CN" w:bidi="ar-SA"/>
        </w:rPr>
      </w:pPr>
      <w:r>
        <w:rPr>
          <w:rStyle w:val="6"/>
          <w:rFonts w:hint="eastAsia" w:ascii="仿宋_GB2312" w:hAnsi="宋体" w:eastAsia="仿宋_GB2312"/>
          <w:b w:val="0"/>
          <w:i w:val="0"/>
          <w:caps w:val="0"/>
          <w:spacing w:val="0"/>
          <w:w w:val="100"/>
          <w:kern w:val="2"/>
          <w:sz w:val="32"/>
          <w:szCs w:val="32"/>
          <w:lang w:val="en-US" w:eastAsia="zh-CN" w:bidi="ar-SA"/>
        </w:rPr>
        <w:t>（1）住房改革支出58.91万元，主要是住房公积金等支出。</w:t>
      </w:r>
    </w:p>
    <w:p>
      <w:pPr>
        <w:snapToGrid/>
        <w:spacing w:before="0" w:beforeAutospacing="0" w:after="0" w:afterAutospacing="0" w:line="540" w:lineRule="exact"/>
        <w:ind w:firstLine="660"/>
        <w:jc w:val="both"/>
        <w:textAlignment w:val="baseline"/>
        <w:rPr>
          <w:rStyle w:val="6"/>
          <w:rFonts w:ascii="楷体_GB2312" w:hAnsi="宋体" w:eastAsia="楷体_GB2312"/>
          <w:b/>
          <w:i w:val="0"/>
          <w:caps w:val="0"/>
          <w:spacing w:val="0"/>
          <w:w w:val="100"/>
          <w:kern w:val="2"/>
          <w:sz w:val="32"/>
          <w:szCs w:val="32"/>
          <w:lang w:val="en-US" w:eastAsia="zh-CN" w:bidi="ar-SA"/>
        </w:rPr>
      </w:pPr>
      <w:r>
        <w:rPr>
          <w:rStyle w:val="6"/>
          <w:rFonts w:ascii="楷体_GB2312" w:hAnsi="宋体" w:eastAsia="楷体_GB2312"/>
          <w:b/>
          <w:i w:val="0"/>
          <w:caps w:val="0"/>
          <w:spacing w:val="0"/>
          <w:w w:val="100"/>
          <w:kern w:val="2"/>
          <w:sz w:val="32"/>
          <w:szCs w:val="32"/>
          <w:lang w:val="en-US" w:eastAsia="zh-CN" w:bidi="ar-SA"/>
        </w:rPr>
        <w:t>（三）政府性基金预算财政拨款支出情况。</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2021年度政府性基金预算财政拨款支出</w:t>
      </w:r>
      <w:r>
        <w:rPr>
          <w:rStyle w:val="6"/>
          <w:rFonts w:ascii="楷体_GB2312" w:hAnsi="宋体" w:eastAsia="楷体_GB2312"/>
          <w:b/>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万元，与年初预算数保持一致。</w:t>
      </w:r>
    </w:p>
    <w:p>
      <w:pPr>
        <w:snapToGrid/>
        <w:spacing w:before="0" w:beforeAutospacing="0" w:after="0" w:afterAutospacing="0" w:line="540" w:lineRule="exact"/>
        <w:ind w:firstLine="660"/>
        <w:jc w:val="both"/>
        <w:textAlignment w:val="baseline"/>
        <w:rPr>
          <w:rStyle w:val="6"/>
          <w:rFonts w:ascii="楷体_GB2312" w:hAnsi="宋体" w:eastAsia="楷体_GB2312"/>
          <w:b/>
          <w:i w:val="0"/>
          <w:caps w:val="0"/>
          <w:spacing w:val="0"/>
          <w:w w:val="100"/>
          <w:kern w:val="2"/>
          <w:sz w:val="32"/>
          <w:szCs w:val="32"/>
          <w:lang w:val="en-US" w:eastAsia="zh-CN" w:bidi="ar-SA"/>
        </w:rPr>
      </w:pPr>
      <w:r>
        <w:rPr>
          <w:rStyle w:val="6"/>
          <w:rFonts w:ascii="楷体_GB2312" w:hAnsi="宋体" w:eastAsia="楷体_GB2312"/>
          <w:b/>
          <w:i w:val="0"/>
          <w:caps w:val="0"/>
          <w:spacing w:val="0"/>
          <w:w w:val="100"/>
          <w:kern w:val="2"/>
          <w:sz w:val="32"/>
          <w:szCs w:val="32"/>
          <w:lang w:val="en-US" w:eastAsia="zh-CN" w:bidi="ar-SA"/>
        </w:rPr>
        <w:t>（四）国有资本经营预算财政拨款支出情况。</w:t>
      </w:r>
    </w:p>
    <w:p>
      <w:pPr>
        <w:snapToGrid/>
        <w:spacing w:before="0" w:beforeAutospacing="0" w:after="0" w:afterAutospacing="0" w:line="540" w:lineRule="exact"/>
        <w:ind w:firstLine="66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2021年度国有资本经营预算财政拨款支出0万元。与年初预算数保持一致。</w:t>
      </w:r>
    </w:p>
    <w:p>
      <w:pPr>
        <w:snapToGrid/>
        <w:spacing w:before="0" w:beforeAutospacing="0" w:after="0" w:afterAutospacing="0" w:line="540" w:lineRule="exact"/>
        <w:ind w:firstLine="660"/>
        <w:jc w:val="both"/>
        <w:textAlignment w:val="baseline"/>
        <w:rPr>
          <w:rStyle w:val="6"/>
          <w:rFonts w:ascii="黑体" w:hAnsi="黑体" w:eastAsia="黑体"/>
          <w:b w:val="0"/>
          <w:i w:val="0"/>
          <w:caps w:val="0"/>
          <w:spacing w:val="0"/>
          <w:w w:val="100"/>
          <w:kern w:val="2"/>
          <w:sz w:val="32"/>
          <w:szCs w:val="32"/>
          <w:lang w:val="en-US" w:eastAsia="zh-CN" w:bidi="ar-SA"/>
        </w:rPr>
      </w:pPr>
      <w:r>
        <w:rPr>
          <w:rStyle w:val="6"/>
          <w:rFonts w:ascii="黑体" w:hAnsi="黑体" w:eastAsia="黑体"/>
          <w:b w:val="0"/>
          <w:i w:val="0"/>
          <w:caps w:val="0"/>
          <w:spacing w:val="0"/>
          <w:w w:val="100"/>
          <w:kern w:val="2"/>
          <w:sz w:val="32"/>
          <w:szCs w:val="32"/>
          <w:lang w:val="en-US" w:eastAsia="zh-CN" w:bidi="ar-SA"/>
        </w:rPr>
        <w:t>三、一般公共预算财政拨款“三公”经费支出决算情况说明</w:t>
      </w:r>
    </w:p>
    <w:p>
      <w:pPr>
        <w:snapToGrid/>
        <w:spacing w:before="0" w:beforeAutospacing="0" w:after="0" w:afterAutospacing="0" w:line="540" w:lineRule="exact"/>
        <w:ind w:firstLine="645"/>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2021年度一般公共预算财政拨款安排的“三公”经费支出</w:t>
      </w:r>
      <w:r>
        <w:rPr>
          <w:rStyle w:val="6"/>
          <w:rFonts w:ascii="楷体_GB2312" w:hAnsi="宋体" w:eastAsia="楷体_GB2312"/>
          <w:b/>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万元，决算数</w:t>
      </w:r>
      <w:r>
        <w:rPr>
          <w:rStyle w:val="6"/>
          <w:rFonts w:hint="eastAsia" w:ascii="仿宋_GB2312" w:hAnsi="宋体" w:eastAsia="仿宋_GB2312"/>
          <w:b w:val="0"/>
          <w:i w:val="0"/>
          <w:caps w:val="0"/>
          <w:spacing w:val="0"/>
          <w:w w:val="100"/>
          <w:kern w:val="2"/>
          <w:sz w:val="32"/>
          <w:szCs w:val="32"/>
          <w:lang w:val="en-US" w:eastAsia="zh-CN" w:bidi="ar-SA"/>
        </w:rPr>
        <w:t>等于</w:t>
      </w:r>
      <w:r>
        <w:rPr>
          <w:rStyle w:val="6"/>
          <w:rFonts w:ascii="仿宋_GB2312" w:hAnsi="宋体" w:eastAsia="仿宋_GB2312"/>
          <w:b w:val="0"/>
          <w:i w:val="0"/>
          <w:caps w:val="0"/>
          <w:spacing w:val="0"/>
          <w:w w:val="100"/>
          <w:kern w:val="2"/>
          <w:sz w:val="32"/>
          <w:szCs w:val="32"/>
          <w:lang w:val="en-US" w:eastAsia="zh-CN" w:bidi="ar-SA"/>
        </w:rPr>
        <w:t>年初预算数。其中：因公出国（境）费</w:t>
      </w:r>
      <w:r>
        <w:rPr>
          <w:rStyle w:val="6"/>
          <w:rFonts w:ascii="楷体_GB2312" w:hAnsi="宋体" w:eastAsia="楷体_GB2312"/>
          <w:b/>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万元，公务接待费</w:t>
      </w:r>
      <w:r>
        <w:rPr>
          <w:rStyle w:val="6"/>
          <w:rFonts w:ascii="楷体_GB2312" w:hAnsi="宋体" w:eastAsia="楷体_GB2312"/>
          <w:b/>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万元，公务用车购置及运行维护费</w:t>
      </w:r>
      <w:r>
        <w:rPr>
          <w:rStyle w:val="6"/>
          <w:rFonts w:ascii="楷体_GB2312" w:hAnsi="宋体" w:eastAsia="楷体_GB2312"/>
          <w:b/>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w:t>
      </w:r>
    </w:p>
    <w:p>
      <w:pPr>
        <w:snapToGrid/>
        <w:spacing w:before="0" w:beforeAutospacing="0" w:after="0" w:afterAutospacing="0" w:line="540" w:lineRule="exact"/>
        <w:ind w:firstLine="645"/>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1.因公出国（境）费0万元，占“三公”经费支出的0%。完成年初预算的100%。2021年参加出国（境）团组0个，累计0人次。2021年因公出国（境）费与上年比无变化。</w:t>
      </w:r>
    </w:p>
    <w:p>
      <w:pPr>
        <w:snapToGrid/>
        <w:spacing w:before="0" w:beforeAutospacing="0" w:after="0" w:afterAutospacing="0" w:line="540" w:lineRule="exact"/>
        <w:ind w:firstLine="645"/>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2.公务接待费</w:t>
      </w:r>
      <w:r>
        <w:rPr>
          <w:rStyle w:val="6"/>
          <w:rFonts w:ascii="楷体_GB2312" w:hAnsi="宋体" w:eastAsia="楷体_GB2312"/>
          <w:b/>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w:t>
      </w:r>
      <w:r>
        <w:rPr>
          <w:rStyle w:val="6"/>
          <w:rFonts w:hint="eastAsia" w:ascii="仿宋_GB2312" w:hAnsi="宋体" w:eastAsia="仿宋_GB2312"/>
          <w:b w:val="0"/>
          <w:i w:val="0"/>
          <w:caps w:val="0"/>
          <w:spacing w:val="0"/>
          <w:w w:val="100"/>
          <w:kern w:val="2"/>
          <w:sz w:val="32"/>
          <w:szCs w:val="32"/>
          <w:lang w:val="en-US" w:eastAsia="zh-CN" w:bidi="ar-SA"/>
        </w:rPr>
        <w:t>。</w:t>
      </w:r>
      <w:r>
        <w:rPr>
          <w:rStyle w:val="6"/>
          <w:rFonts w:ascii="仿宋_GB2312" w:hAnsi="宋体" w:eastAsia="仿宋_GB2312"/>
          <w:b w:val="0"/>
          <w:i w:val="0"/>
          <w:caps w:val="0"/>
          <w:spacing w:val="0"/>
          <w:w w:val="100"/>
          <w:kern w:val="2"/>
          <w:sz w:val="32"/>
          <w:szCs w:val="32"/>
          <w:lang w:val="en-US" w:eastAsia="zh-CN" w:bidi="ar-SA"/>
        </w:rPr>
        <w:t>决算数</w:t>
      </w:r>
      <w:r>
        <w:rPr>
          <w:rStyle w:val="6"/>
          <w:rFonts w:hint="eastAsia" w:ascii="仿宋_GB2312" w:hAnsi="宋体" w:eastAsia="仿宋_GB2312"/>
          <w:b w:val="0"/>
          <w:i w:val="0"/>
          <w:caps w:val="0"/>
          <w:spacing w:val="0"/>
          <w:w w:val="100"/>
          <w:kern w:val="2"/>
          <w:sz w:val="32"/>
          <w:szCs w:val="32"/>
          <w:lang w:val="en-US" w:eastAsia="zh-CN" w:bidi="ar-SA"/>
        </w:rPr>
        <w:t>等于</w:t>
      </w:r>
      <w:r>
        <w:rPr>
          <w:rStyle w:val="6"/>
          <w:rFonts w:ascii="仿宋_GB2312" w:hAnsi="宋体" w:eastAsia="仿宋_GB2312"/>
          <w:b w:val="0"/>
          <w:i w:val="0"/>
          <w:caps w:val="0"/>
          <w:spacing w:val="0"/>
          <w:w w:val="100"/>
          <w:kern w:val="2"/>
          <w:sz w:val="32"/>
          <w:szCs w:val="32"/>
          <w:lang w:val="en-US" w:eastAsia="zh-CN" w:bidi="ar-SA"/>
        </w:rPr>
        <w:t>年初预算数。2021年国内公务接待累计</w:t>
      </w:r>
      <w:r>
        <w:rPr>
          <w:rStyle w:val="6"/>
          <w:rFonts w:hint="eastAsia" w:ascii="仿宋_GB2312" w:hAnsi="宋体" w:eastAsia="仿宋_GB2312"/>
          <w:b w:val="0"/>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批次、</w:t>
      </w:r>
      <w:r>
        <w:rPr>
          <w:rStyle w:val="6"/>
          <w:rFonts w:hint="eastAsia" w:ascii="仿宋_GB2312" w:hAnsi="宋体" w:eastAsia="仿宋_GB2312"/>
          <w:b w:val="0"/>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人、</w:t>
      </w:r>
      <w:r>
        <w:rPr>
          <w:rStyle w:val="6"/>
          <w:rFonts w:hint="eastAsia" w:ascii="仿宋_GB2312" w:hAnsi="宋体" w:eastAsia="仿宋_GB2312"/>
          <w:b w:val="0"/>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万元；其中外事接待累计</w:t>
      </w:r>
      <w:r>
        <w:rPr>
          <w:rStyle w:val="6"/>
          <w:rFonts w:hint="eastAsia" w:ascii="仿宋_GB2312" w:hAnsi="宋体" w:eastAsia="仿宋_GB2312"/>
          <w:b w:val="0"/>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批次、</w:t>
      </w:r>
      <w:r>
        <w:rPr>
          <w:rStyle w:val="6"/>
          <w:rFonts w:hint="eastAsia" w:ascii="仿宋_GB2312" w:hAnsi="宋体" w:eastAsia="仿宋_GB2312"/>
          <w:b w:val="0"/>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人、</w:t>
      </w:r>
      <w:r>
        <w:rPr>
          <w:rStyle w:val="6"/>
          <w:rFonts w:hint="eastAsia" w:ascii="仿宋_GB2312" w:hAnsi="宋体" w:eastAsia="仿宋_GB2312"/>
          <w:b w:val="0"/>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万元。2021年公务接待费比上年</w:t>
      </w:r>
      <w:r>
        <w:rPr>
          <w:rStyle w:val="6"/>
          <w:rFonts w:hint="eastAsia" w:ascii="仿宋_GB2312" w:hAnsi="宋体" w:eastAsia="仿宋_GB2312"/>
          <w:b w:val="0"/>
          <w:i w:val="0"/>
          <w:caps w:val="0"/>
          <w:spacing w:val="0"/>
          <w:w w:val="100"/>
          <w:kern w:val="2"/>
          <w:sz w:val="32"/>
          <w:szCs w:val="32"/>
          <w:lang w:val="en-US" w:eastAsia="zh-CN" w:bidi="ar-SA"/>
        </w:rPr>
        <w:t>增减</w:t>
      </w:r>
      <w:r>
        <w:rPr>
          <w:rStyle w:val="6"/>
          <w:rFonts w:ascii="仿宋_GB2312" w:hAnsi="宋体" w:eastAsia="仿宋_GB2312"/>
          <w:b w:val="0"/>
          <w:i w:val="0"/>
          <w:caps w:val="0"/>
          <w:spacing w:val="0"/>
          <w:w w:val="100"/>
          <w:kern w:val="2"/>
          <w:sz w:val="32"/>
          <w:szCs w:val="32"/>
          <w:lang w:val="en-US" w:eastAsia="zh-CN" w:bidi="ar-SA"/>
        </w:rPr>
        <w:t>0万元，。</w:t>
      </w:r>
    </w:p>
    <w:p>
      <w:pPr>
        <w:snapToGrid/>
        <w:spacing w:before="0" w:beforeAutospacing="0" w:after="0" w:afterAutospacing="0" w:line="540" w:lineRule="exact"/>
        <w:ind w:firstLine="645"/>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3.公务用车购置及运行费</w:t>
      </w:r>
      <w:r>
        <w:rPr>
          <w:rStyle w:val="6"/>
          <w:rFonts w:ascii="楷体_GB2312" w:hAnsi="宋体" w:eastAsia="楷体_GB2312"/>
          <w:b/>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万元。决算数</w:t>
      </w:r>
      <w:r>
        <w:rPr>
          <w:rStyle w:val="6"/>
          <w:rFonts w:hint="eastAsia" w:ascii="仿宋_GB2312" w:hAnsi="宋体" w:eastAsia="仿宋_GB2312"/>
          <w:b w:val="0"/>
          <w:i w:val="0"/>
          <w:caps w:val="0"/>
          <w:spacing w:val="0"/>
          <w:w w:val="100"/>
          <w:kern w:val="2"/>
          <w:sz w:val="32"/>
          <w:szCs w:val="32"/>
          <w:lang w:val="en-US" w:eastAsia="zh-CN" w:bidi="ar-SA"/>
        </w:rPr>
        <w:t>等于</w:t>
      </w:r>
      <w:r>
        <w:rPr>
          <w:rStyle w:val="6"/>
          <w:rFonts w:ascii="仿宋_GB2312" w:hAnsi="宋体" w:eastAsia="仿宋_GB2312"/>
          <w:b w:val="0"/>
          <w:i w:val="0"/>
          <w:caps w:val="0"/>
          <w:spacing w:val="0"/>
          <w:w w:val="100"/>
          <w:kern w:val="2"/>
          <w:sz w:val="32"/>
          <w:szCs w:val="32"/>
          <w:lang w:val="en-US" w:eastAsia="zh-CN" w:bidi="ar-SA"/>
        </w:rPr>
        <w:t>年初预算数。比上年</w:t>
      </w:r>
      <w:r>
        <w:rPr>
          <w:rStyle w:val="6"/>
          <w:rFonts w:hint="eastAsia" w:ascii="仿宋_GB2312" w:hAnsi="宋体" w:eastAsia="仿宋_GB2312"/>
          <w:b w:val="0"/>
          <w:i w:val="0"/>
          <w:caps w:val="0"/>
          <w:spacing w:val="0"/>
          <w:w w:val="100"/>
          <w:kern w:val="2"/>
          <w:sz w:val="32"/>
          <w:szCs w:val="32"/>
          <w:lang w:val="en-US" w:eastAsia="zh-CN" w:bidi="ar-SA"/>
        </w:rPr>
        <w:t>增减</w:t>
      </w:r>
      <w:r>
        <w:rPr>
          <w:rStyle w:val="6"/>
          <w:rFonts w:ascii="仿宋_GB2312" w:hAnsi="宋体" w:eastAsia="仿宋_GB2312"/>
          <w:b w:val="0"/>
          <w:i w:val="0"/>
          <w:caps w:val="0"/>
          <w:spacing w:val="0"/>
          <w:w w:val="100"/>
          <w:kern w:val="2"/>
          <w:sz w:val="32"/>
          <w:szCs w:val="32"/>
          <w:lang w:val="en-US" w:eastAsia="zh-CN" w:bidi="ar-SA"/>
        </w:rPr>
        <w:t>0万元。</w:t>
      </w:r>
    </w:p>
    <w:p>
      <w:pPr>
        <w:snapToGrid/>
        <w:spacing w:before="0" w:beforeAutospacing="0" w:after="0" w:afterAutospacing="0" w:line="540" w:lineRule="exact"/>
        <w:ind w:firstLine="645"/>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其中：公务用车购置费</w:t>
      </w:r>
      <w:r>
        <w:rPr>
          <w:rStyle w:val="6"/>
          <w:rFonts w:ascii="楷体_GB2312" w:hAnsi="宋体" w:eastAsia="楷体_GB2312"/>
          <w:b/>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万元，当年购置公务用车0辆。公务用车运行维护费</w:t>
      </w:r>
      <w:r>
        <w:rPr>
          <w:rStyle w:val="6"/>
          <w:rFonts w:ascii="楷体_GB2312" w:hAnsi="宋体" w:eastAsia="楷体_GB2312"/>
          <w:b/>
          <w:i w:val="0"/>
          <w:caps w:val="0"/>
          <w:spacing w:val="0"/>
          <w:w w:val="100"/>
          <w:kern w:val="2"/>
          <w:sz w:val="32"/>
          <w:szCs w:val="32"/>
          <w:lang w:val="en-US" w:eastAsia="zh-CN" w:bidi="ar-SA"/>
        </w:rPr>
        <w:t>0</w:t>
      </w:r>
      <w:r>
        <w:rPr>
          <w:rStyle w:val="6"/>
          <w:rFonts w:ascii="仿宋_GB2312" w:hAnsi="宋体" w:eastAsia="仿宋_GB2312"/>
          <w:b w:val="0"/>
          <w:i w:val="0"/>
          <w:caps w:val="0"/>
          <w:spacing w:val="0"/>
          <w:w w:val="100"/>
          <w:kern w:val="2"/>
          <w:sz w:val="32"/>
          <w:szCs w:val="32"/>
          <w:lang w:val="en-US" w:eastAsia="zh-CN" w:bidi="ar-SA"/>
        </w:rPr>
        <w:t>万元，截至年末使用一般公共预算财政拨款开支运行维护费的公务用车保有量0辆。</w:t>
      </w:r>
    </w:p>
    <w:p>
      <w:pPr>
        <w:snapToGrid/>
        <w:spacing w:before="0" w:beforeAutospacing="0" w:after="0" w:afterAutospacing="0" w:line="540" w:lineRule="exact"/>
        <w:ind w:firstLine="645"/>
        <w:jc w:val="both"/>
        <w:textAlignment w:val="baseline"/>
        <w:rPr>
          <w:rStyle w:val="6"/>
          <w:rFonts w:ascii="黑体" w:hAnsi="黑体" w:eastAsia="黑体"/>
          <w:b w:val="0"/>
          <w:i w:val="0"/>
          <w:caps w:val="0"/>
          <w:spacing w:val="0"/>
          <w:w w:val="100"/>
          <w:kern w:val="2"/>
          <w:sz w:val="32"/>
          <w:szCs w:val="32"/>
          <w:lang w:val="en-US" w:eastAsia="zh-CN" w:bidi="ar-SA"/>
        </w:rPr>
      </w:pPr>
      <w:r>
        <w:rPr>
          <w:rStyle w:val="6"/>
          <w:rFonts w:ascii="黑体" w:hAnsi="黑体" w:eastAsia="黑体"/>
          <w:b w:val="0"/>
          <w:i w:val="0"/>
          <w:caps w:val="0"/>
          <w:spacing w:val="0"/>
          <w:w w:val="100"/>
          <w:kern w:val="2"/>
          <w:sz w:val="32"/>
          <w:szCs w:val="32"/>
          <w:lang w:val="en-US" w:eastAsia="zh-CN" w:bidi="ar-SA"/>
        </w:rPr>
        <w:t>四、一般公共预算财政拨款基本支出决算情况说明</w:t>
      </w:r>
    </w:p>
    <w:p>
      <w:pPr>
        <w:snapToGrid/>
        <w:spacing w:before="0" w:beforeAutospacing="0" w:after="0" w:afterAutospacing="0" w:line="540" w:lineRule="exact"/>
        <w:ind w:firstLine="645"/>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ascii="仿宋_GB2312" w:hAnsi="宋体" w:eastAsia="仿宋_GB2312"/>
          <w:b w:val="0"/>
          <w:i w:val="0"/>
          <w:caps w:val="0"/>
          <w:spacing w:val="0"/>
          <w:w w:val="100"/>
          <w:kern w:val="2"/>
          <w:sz w:val="32"/>
          <w:szCs w:val="32"/>
          <w:lang w:val="en-US" w:eastAsia="zh-CN" w:bidi="ar-SA"/>
        </w:rPr>
        <w:t>2021年度一般公共预算财政拨款基本支出911.91万元，其中：人员经费406.98常公用经费支出378.94万元，主要包括办公费、邮电费、取暖费。</w:t>
      </w:r>
    </w:p>
    <w:p>
      <w:pPr>
        <w:snapToGrid/>
        <w:spacing w:before="0" w:beforeAutospacing="0" w:after="0" w:afterAutospacing="0" w:line="540" w:lineRule="exact"/>
        <w:ind w:firstLine="640" w:firstLineChars="200"/>
        <w:jc w:val="both"/>
        <w:textAlignment w:val="baseline"/>
        <w:rPr>
          <w:rStyle w:val="6"/>
          <w:rFonts w:ascii="黑体" w:hAnsi="黑体" w:eastAsia="黑体"/>
          <w:b w:val="0"/>
          <w:i w:val="0"/>
          <w:caps w:val="0"/>
          <w:spacing w:val="0"/>
          <w:w w:val="100"/>
          <w:kern w:val="2"/>
          <w:sz w:val="32"/>
          <w:szCs w:val="32"/>
          <w:lang w:val="en-US" w:eastAsia="zh-CN" w:bidi="ar-SA"/>
        </w:rPr>
      </w:pPr>
      <w:r>
        <w:rPr>
          <w:rStyle w:val="6"/>
          <w:rFonts w:ascii="黑体" w:hAnsi="黑体" w:eastAsia="黑体"/>
          <w:b w:val="0"/>
          <w:i w:val="0"/>
          <w:caps w:val="0"/>
          <w:spacing w:val="0"/>
          <w:w w:val="100"/>
          <w:kern w:val="2"/>
          <w:sz w:val="32"/>
          <w:szCs w:val="32"/>
          <w:lang w:val="en-US" w:eastAsia="zh-CN" w:bidi="ar-SA"/>
        </w:rPr>
        <w:t>五、其他重要事项的情况说明</w:t>
      </w:r>
    </w:p>
    <w:p>
      <w:pPr>
        <w:snapToGrid/>
        <w:spacing w:before="0" w:beforeAutospacing="0" w:after="0" w:afterAutospacing="0" w:line="540" w:lineRule="exact"/>
        <w:ind w:firstLine="642" w:firstLineChars="200"/>
        <w:jc w:val="both"/>
        <w:textAlignment w:val="baseline"/>
        <w:rPr>
          <w:rStyle w:val="6"/>
          <w:rFonts w:ascii="楷体_GB2312" w:hAnsi="黑体" w:eastAsia="楷体_GB2312"/>
          <w:b/>
          <w:i w:val="0"/>
          <w:caps w:val="0"/>
          <w:spacing w:val="0"/>
          <w:w w:val="100"/>
          <w:kern w:val="2"/>
          <w:sz w:val="32"/>
          <w:szCs w:val="32"/>
          <w:lang w:val="en-US" w:eastAsia="zh-CN" w:bidi="ar-SA"/>
        </w:rPr>
      </w:pPr>
      <w:r>
        <w:rPr>
          <w:rStyle w:val="6"/>
          <w:rFonts w:ascii="楷体_GB2312" w:hAnsi="黑体" w:eastAsia="楷体_GB2312"/>
          <w:b/>
          <w:i w:val="0"/>
          <w:caps w:val="0"/>
          <w:spacing w:val="0"/>
          <w:w w:val="100"/>
          <w:kern w:val="2"/>
          <w:sz w:val="32"/>
          <w:szCs w:val="32"/>
          <w:lang w:val="en-US" w:eastAsia="zh-CN" w:bidi="ar-SA"/>
        </w:rPr>
        <w:t>（一）机关运行经费支出情况。</w:t>
      </w:r>
    </w:p>
    <w:p>
      <w:pPr>
        <w:snapToGrid/>
        <w:spacing w:before="0" w:beforeAutospacing="0" w:after="0" w:afterAutospacing="0" w:line="540" w:lineRule="exact"/>
        <w:ind w:firstLine="640" w:firstLineChars="200"/>
        <w:jc w:val="both"/>
        <w:textAlignment w:val="baseline"/>
        <w:rPr>
          <w:rStyle w:val="6"/>
          <w:rFonts w:ascii="仿宋_GB2312" w:hAnsi="黑体" w:eastAsia="仿宋_GB2312"/>
          <w:b w:val="0"/>
          <w:i w:val="0"/>
          <w:caps w:val="0"/>
          <w:spacing w:val="0"/>
          <w:w w:val="100"/>
          <w:kern w:val="2"/>
          <w:sz w:val="32"/>
          <w:szCs w:val="32"/>
          <w:lang w:val="en-US" w:eastAsia="zh-CN" w:bidi="ar-SA"/>
        </w:rPr>
      </w:pPr>
      <w:r>
        <w:rPr>
          <w:rStyle w:val="6"/>
          <w:rFonts w:ascii="仿宋_GB2312" w:hAnsi="黑体" w:eastAsia="仿宋_GB2312"/>
          <w:b w:val="0"/>
          <w:i w:val="0"/>
          <w:caps w:val="0"/>
          <w:spacing w:val="0"/>
          <w:w w:val="100"/>
          <w:kern w:val="2"/>
          <w:sz w:val="32"/>
          <w:szCs w:val="32"/>
          <w:lang w:val="en-US" w:eastAsia="zh-CN" w:bidi="ar-SA"/>
        </w:rPr>
        <w:t>2021年机关运行经费支出0万元，比上年</w:t>
      </w:r>
      <w:r>
        <w:rPr>
          <w:rStyle w:val="6"/>
          <w:rFonts w:hint="eastAsia" w:ascii="仿宋_GB2312" w:hAnsi="黑体" w:eastAsia="仿宋_GB2312"/>
          <w:b w:val="0"/>
          <w:i w:val="0"/>
          <w:caps w:val="0"/>
          <w:spacing w:val="0"/>
          <w:w w:val="100"/>
          <w:kern w:val="2"/>
          <w:sz w:val="32"/>
          <w:szCs w:val="32"/>
          <w:lang w:val="en-US" w:eastAsia="zh-CN" w:bidi="ar-SA"/>
        </w:rPr>
        <w:t>增减</w:t>
      </w:r>
      <w:r>
        <w:rPr>
          <w:rStyle w:val="6"/>
          <w:rFonts w:ascii="仿宋_GB2312" w:hAnsi="黑体" w:eastAsia="仿宋_GB2312"/>
          <w:b w:val="0"/>
          <w:i w:val="0"/>
          <w:caps w:val="0"/>
          <w:spacing w:val="0"/>
          <w:w w:val="100"/>
          <w:kern w:val="2"/>
          <w:sz w:val="32"/>
          <w:szCs w:val="32"/>
          <w:lang w:val="en-US" w:eastAsia="zh-CN" w:bidi="ar-SA"/>
        </w:rPr>
        <w:t>0万元。</w:t>
      </w:r>
    </w:p>
    <w:p>
      <w:pPr>
        <w:snapToGrid/>
        <w:spacing w:before="0" w:beforeAutospacing="0" w:after="0" w:afterAutospacing="0" w:line="540" w:lineRule="exact"/>
        <w:ind w:firstLine="642" w:firstLineChars="200"/>
        <w:jc w:val="both"/>
        <w:textAlignment w:val="baseline"/>
        <w:rPr>
          <w:rStyle w:val="6"/>
          <w:rFonts w:ascii="楷体_GB2312" w:hAnsi="黑体" w:eastAsia="楷体_GB2312"/>
          <w:b/>
          <w:i w:val="0"/>
          <w:caps w:val="0"/>
          <w:spacing w:val="0"/>
          <w:w w:val="100"/>
          <w:kern w:val="2"/>
          <w:sz w:val="32"/>
          <w:szCs w:val="32"/>
          <w:lang w:val="en-US" w:eastAsia="zh-CN" w:bidi="ar-SA"/>
        </w:rPr>
      </w:pPr>
      <w:r>
        <w:rPr>
          <w:rStyle w:val="6"/>
          <w:rFonts w:ascii="楷体_GB2312" w:hAnsi="黑体" w:eastAsia="楷体_GB2312"/>
          <w:b/>
          <w:i w:val="0"/>
          <w:caps w:val="0"/>
          <w:spacing w:val="0"/>
          <w:w w:val="100"/>
          <w:kern w:val="2"/>
          <w:sz w:val="32"/>
          <w:szCs w:val="32"/>
          <w:lang w:val="en-US" w:eastAsia="zh-CN" w:bidi="ar-SA"/>
        </w:rPr>
        <w:t>（二）政府采购支出情况。</w:t>
      </w:r>
    </w:p>
    <w:p>
      <w:pPr>
        <w:snapToGrid/>
        <w:spacing w:before="0" w:beforeAutospacing="0" w:after="0" w:afterAutospacing="0" w:line="540" w:lineRule="exact"/>
        <w:ind w:firstLine="640" w:firstLineChars="200"/>
        <w:jc w:val="both"/>
        <w:textAlignment w:val="baseline"/>
        <w:rPr>
          <w:rStyle w:val="6"/>
          <w:rFonts w:ascii="仿宋_GB2312" w:hAnsi="黑体" w:eastAsia="仿宋_GB2312"/>
          <w:b w:val="0"/>
          <w:i w:val="0"/>
          <w:caps w:val="0"/>
          <w:spacing w:val="0"/>
          <w:w w:val="100"/>
          <w:kern w:val="2"/>
          <w:sz w:val="32"/>
          <w:szCs w:val="32"/>
          <w:lang w:val="en-US" w:eastAsia="zh-CN" w:bidi="ar-SA"/>
        </w:rPr>
      </w:pPr>
      <w:r>
        <w:rPr>
          <w:rStyle w:val="6"/>
          <w:rFonts w:ascii="仿宋_GB2312" w:hAnsi="黑体" w:eastAsia="仿宋_GB2312"/>
          <w:b w:val="0"/>
          <w:i w:val="0"/>
          <w:caps w:val="0"/>
          <w:spacing w:val="0"/>
          <w:w w:val="100"/>
          <w:kern w:val="2"/>
          <w:sz w:val="32"/>
          <w:szCs w:val="32"/>
          <w:lang w:val="en-US" w:eastAsia="zh-CN" w:bidi="ar-SA"/>
        </w:rPr>
        <w:t>2021年政府采购支出总额0万元，其中：政府采购货物支出XX万元，政府采购工程支出0万元，政府采购服务支出0万元。</w:t>
      </w:r>
      <w:r>
        <w:rPr>
          <w:rStyle w:val="6"/>
          <w:rFonts w:ascii="仿宋_GB2312" w:eastAsia="仿宋_GB2312"/>
          <w:b w:val="0"/>
          <w:i w:val="0"/>
          <w:caps w:val="0"/>
          <w:spacing w:val="0"/>
          <w:w w:val="100"/>
          <w:kern w:val="2"/>
          <w:sz w:val="32"/>
          <w:szCs w:val="32"/>
          <w:lang w:val="en-US" w:eastAsia="zh-CN" w:bidi="ar-SA"/>
        </w:rPr>
        <w:t>授予中小企业合同金额</w:t>
      </w:r>
      <w:r>
        <w:rPr>
          <w:rStyle w:val="6"/>
          <w:rFonts w:ascii="仿宋_GB2312" w:hAnsi="黑体" w:eastAsia="仿宋_GB2312"/>
          <w:b w:val="0"/>
          <w:i w:val="0"/>
          <w:caps w:val="0"/>
          <w:spacing w:val="0"/>
          <w:w w:val="100"/>
          <w:kern w:val="2"/>
          <w:sz w:val="32"/>
          <w:szCs w:val="32"/>
          <w:lang w:val="en-US" w:eastAsia="zh-CN" w:bidi="ar-SA"/>
        </w:rPr>
        <w:t>0</w:t>
      </w:r>
      <w:r>
        <w:rPr>
          <w:rStyle w:val="6"/>
          <w:rFonts w:ascii="仿宋_GB2312" w:eastAsia="仿宋_GB2312"/>
          <w:b w:val="0"/>
          <w:i w:val="0"/>
          <w:caps w:val="0"/>
          <w:spacing w:val="0"/>
          <w:w w:val="100"/>
          <w:kern w:val="2"/>
          <w:sz w:val="32"/>
          <w:szCs w:val="32"/>
          <w:lang w:val="en-US" w:eastAsia="zh-CN" w:bidi="ar-SA"/>
        </w:rPr>
        <w:t>万元，占政府采购支出总额的</w:t>
      </w:r>
      <w:r>
        <w:rPr>
          <w:rStyle w:val="6"/>
          <w:rFonts w:ascii="仿宋_GB2312" w:hAnsi="黑体" w:eastAsia="仿宋_GB2312"/>
          <w:b w:val="0"/>
          <w:i w:val="0"/>
          <w:caps w:val="0"/>
          <w:spacing w:val="0"/>
          <w:w w:val="100"/>
          <w:kern w:val="2"/>
          <w:sz w:val="32"/>
          <w:szCs w:val="32"/>
          <w:lang w:val="en-US" w:eastAsia="zh-CN" w:bidi="ar-SA"/>
        </w:rPr>
        <w:t>0</w:t>
      </w:r>
      <w:r>
        <w:rPr>
          <w:rStyle w:val="6"/>
          <w:rFonts w:ascii="仿宋_GB2312" w:eastAsia="仿宋_GB2312"/>
          <w:b w:val="0"/>
          <w:i w:val="0"/>
          <w:caps w:val="0"/>
          <w:spacing w:val="0"/>
          <w:w w:val="100"/>
          <w:kern w:val="2"/>
          <w:sz w:val="32"/>
          <w:szCs w:val="32"/>
          <w:lang w:val="en-US" w:eastAsia="zh-CN" w:bidi="ar-SA"/>
        </w:rPr>
        <w:t>%，其中：授予小微企业合同金额</w:t>
      </w:r>
      <w:r>
        <w:rPr>
          <w:rStyle w:val="6"/>
          <w:rFonts w:ascii="仿宋_GB2312" w:hAnsi="黑体" w:eastAsia="仿宋_GB2312"/>
          <w:b w:val="0"/>
          <w:i w:val="0"/>
          <w:caps w:val="0"/>
          <w:spacing w:val="0"/>
          <w:w w:val="100"/>
          <w:kern w:val="2"/>
          <w:sz w:val="32"/>
          <w:szCs w:val="32"/>
          <w:lang w:val="en-US" w:eastAsia="zh-CN" w:bidi="ar-SA"/>
        </w:rPr>
        <w:t>0</w:t>
      </w:r>
      <w:r>
        <w:rPr>
          <w:rStyle w:val="6"/>
          <w:rFonts w:ascii="仿宋_GB2312" w:eastAsia="仿宋_GB2312"/>
          <w:b w:val="0"/>
          <w:i w:val="0"/>
          <w:caps w:val="0"/>
          <w:spacing w:val="0"/>
          <w:w w:val="100"/>
          <w:kern w:val="2"/>
          <w:sz w:val="32"/>
          <w:szCs w:val="32"/>
          <w:lang w:val="en-US" w:eastAsia="zh-CN" w:bidi="ar-SA"/>
        </w:rPr>
        <w:t>万元，占政府采购支出总额的</w:t>
      </w:r>
      <w:r>
        <w:rPr>
          <w:rStyle w:val="6"/>
          <w:rFonts w:ascii="仿宋_GB2312" w:hAnsi="黑体" w:eastAsia="仿宋_GB2312"/>
          <w:b w:val="0"/>
          <w:i w:val="0"/>
          <w:caps w:val="0"/>
          <w:spacing w:val="0"/>
          <w:w w:val="100"/>
          <w:kern w:val="2"/>
          <w:sz w:val="32"/>
          <w:szCs w:val="32"/>
          <w:lang w:val="en-US" w:eastAsia="zh-CN" w:bidi="ar-SA"/>
        </w:rPr>
        <w:t>0</w:t>
      </w:r>
      <w:r>
        <w:rPr>
          <w:rStyle w:val="6"/>
          <w:rFonts w:ascii="仿宋_GB2312" w:eastAsia="仿宋_GB2312"/>
          <w:b w:val="0"/>
          <w:i w:val="0"/>
          <w:caps w:val="0"/>
          <w:spacing w:val="0"/>
          <w:w w:val="100"/>
          <w:kern w:val="2"/>
          <w:sz w:val="32"/>
          <w:szCs w:val="32"/>
          <w:lang w:val="en-US" w:eastAsia="zh-CN" w:bidi="ar-SA"/>
        </w:rPr>
        <w:t>%；货物采购授予中小企业合同金额占货物支出金额的</w:t>
      </w:r>
      <w:r>
        <w:rPr>
          <w:rStyle w:val="6"/>
          <w:rFonts w:ascii="仿宋_GB2312" w:hAnsi="黑体" w:eastAsia="仿宋_GB2312"/>
          <w:b w:val="0"/>
          <w:i w:val="0"/>
          <w:caps w:val="0"/>
          <w:spacing w:val="0"/>
          <w:w w:val="100"/>
          <w:kern w:val="2"/>
          <w:sz w:val="32"/>
          <w:szCs w:val="32"/>
          <w:lang w:val="en-US" w:eastAsia="zh-CN" w:bidi="ar-SA"/>
        </w:rPr>
        <w:t>自行计算</w:t>
      </w:r>
      <w:r>
        <w:rPr>
          <w:rStyle w:val="6"/>
          <w:rFonts w:ascii="仿宋_GB2312" w:eastAsia="仿宋_GB2312"/>
          <w:b w:val="0"/>
          <w:i w:val="0"/>
          <w:caps w:val="0"/>
          <w:spacing w:val="0"/>
          <w:w w:val="100"/>
          <w:kern w:val="2"/>
          <w:sz w:val="32"/>
          <w:szCs w:val="32"/>
          <w:lang w:val="en-US" w:eastAsia="zh-CN" w:bidi="ar-SA"/>
        </w:rPr>
        <w:t>%；工程采购授予中小企业合同金额占货物支出金额的</w:t>
      </w:r>
      <w:r>
        <w:rPr>
          <w:rStyle w:val="6"/>
          <w:rFonts w:ascii="仿宋_GB2312" w:hAnsi="黑体" w:eastAsia="仿宋_GB2312"/>
          <w:b w:val="0"/>
          <w:i w:val="0"/>
          <w:caps w:val="0"/>
          <w:spacing w:val="0"/>
          <w:w w:val="100"/>
          <w:kern w:val="2"/>
          <w:sz w:val="32"/>
          <w:szCs w:val="32"/>
          <w:lang w:val="en-US" w:eastAsia="zh-CN" w:bidi="ar-SA"/>
        </w:rPr>
        <w:t>0</w:t>
      </w:r>
      <w:r>
        <w:rPr>
          <w:rStyle w:val="6"/>
          <w:rFonts w:ascii="仿宋_GB2312" w:eastAsia="仿宋_GB2312"/>
          <w:b w:val="0"/>
          <w:i w:val="0"/>
          <w:caps w:val="0"/>
          <w:spacing w:val="0"/>
          <w:w w:val="100"/>
          <w:kern w:val="2"/>
          <w:sz w:val="32"/>
          <w:szCs w:val="32"/>
          <w:lang w:val="en-US" w:eastAsia="zh-CN" w:bidi="ar-SA"/>
        </w:rPr>
        <w:t>%；服务采购授予中小企业合同金额占货物支出金额的</w:t>
      </w:r>
      <w:r>
        <w:rPr>
          <w:rStyle w:val="6"/>
          <w:rFonts w:ascii="仿宋_GB2312" w:hAnsi="黑体" w:eastAsia="仿宋_GB2312"/>
          <w:b w:val="0"/>
          <w:i w:val="0"/>
          <w:caps w:val="0"/>
          <w:spacing w:val="0"/>
          <w:w w:val="100"/>
          <w:kern w:val="2"/>
          <w:sz w:val="32"/>
          <w:szCs w:val="32"/>
          <w:lang w:val="en-US" w:eastAsia="zh-CN" w:bidi="ar-SA"/>
        </w:rPr>
        <w:t>0</w:t>
      </w:r>
      <w:r>
        <w:rPr>
          <w:rStyle w:val="6"/>
          <w:rFonts w:ascii="仿宋_GB2312" w:eastAsia="仿宋_GB2312"/>
          <w:b w:val="0"/>
          <w:i w:val="0"/>
          <w:caps w:val="0"/>
          <w:spacing w:val="0"/>
          <w:w w:val="100"/>
          <w:kern w:val="2"/>
          <w:sz w:val="32"/>
          <w:szCs w:val="32"/>
          <w:lang w:val="en-US" w:eastAsia="zh-CN" w:bidi="ar-SA"/>
        </w:rPr>
        <w:t>%。</w:t>
      </w:r>
    </w:p>
    <w:p>
      <w:pPr>
        <w:snapToGrid/>
        <w:spacing w:before="0" w:beforeAutospacing="0" w:after="0" w:afterAutospacing="0" w:line="540" w:lineRule="exact"/>
        <w:ind w:firstLine="642" w:firstLineChars="200"/>
        <w:jc w:val="both"/>
        <w:textAlignment w:val="baseline"/>
        <w:rPr>
          <w:rStyle w:val="6"/>
          <w:rFonts w:ascii="楷体_GB2312" w:hAnsi="黑体" w:eastAsia="楷体_GB2312"/>
          <w:b/>
          <w:i w:val="0"/>
          <w:caps w:val="0"/>
          <w:spacing w:val="0"/>
          <w:w w:val="100"/>
          <w:kern w:val="2"/>
          <w:sz w:val="32"/>
          <w:szCs w:val="32"/>
          <w:lang w:val="en-US" w:eastAsia="zh-CN" w:bidi="ar-SA"/>
        </w:rPr>
      </w:pPr>
      <w:r>
        <w:rPr>
          <w:rStyle w:val="6"/>
          <w:rFonts w:ascii="楷体_GB2312" w:hAnsi="黑体" w:eastAsia="楷体_GB2312"/>
          <w:b/>
          <w:i w:val="0"/>
          <w:caps w:val="0"/>
          <w:spacing w:val="0"/>
          <w:w w:val="100"/>
          <w:kern w:val="2"/>
          <w:sz w:val="32"/>
          <w:szCs w:val="32"/>
          <w:lang w:val="en-US" w:eastAsia="zh-CN" w:bidi="ar-SA"/>
        </w:rPr>
        <w:t>（三）国有资产占用情况。</w:t>
      </w:r>
    </w:p>
    <w:p>
      <w:pPr>
        <w:snapToGrid/>
        <w:spacing w:before="0" w:beforeAutospacing="0" w:after="0" w:afterAutospacing="0" w:line="540" w:lineRule="exact"/>
        <w:ind w:firstLine="640" w:firstLineChars="200"/>
        <w:jc w:val="both"/>
        <w:textAlignment w:val="baseline"/>
        <w:rPr>
          <w:rStyle w:val="6"/>
          <w:rFonts w:ascii="仿宋_GB2312" w:hAnsi="黑体" w:eastAsia="仿宋_GB2312"/>
          <w:b w:val="0"/>
          <w:i w:val="0"/>
          <w:caps w:val="0"/>
          <w:spacing w:val="0"/>
          <w:w w:val="100"/>
          <w:kern w:val="2"/>
          <w:sz w:val="32"/>
          <w:szCs w:val="32"/>
          <w:lang w:val="en-US" w:eastAsia="zh-CN" w:bidi="ar-SA"/>
        </w:rPr>
      </w:pPr>
      <w:r>
        <w:rPr>
          <w:rStyle w:val="6"/>
          <w:rFonts w:ascii="仿宋_GB2312" w:hAnsi="黑体" w:eastAsia="仿宋_GB2312"/>
          <w:b w:val="0"/>
          <w:i w:val="0"/>
          <w:caps w:val="0"/>
          <w:spacing w:val="0"/>
          <w:w w:val="100"/>
          <w:kern w:val="2"/>
          <w:sz w:val="32"/>
          <w:szCs w:val="32"/>
          <w:lang w:val="en-US" w:eastAsia="zh-CN" w:bidi="ar-SA"/>
        </w:rPr>
        <w:t>截至2021年12月31日，共有车辆0辆，其中：副省级以上领导干部用车0辆，主要领导干部用车0辆，机要通讯用车0辆，应急保障用车</w:t>
      </w:r>
      <w:r>
        <w:rPr>
          <w:rStyle w:val="6"/>
          <w:rFonts w:hint="default" w:ascii="仿宋_GB2312" w:hAnsi="黑体" w:eastAsia="仿宋_GB2312"/>
          <w:b w:val="0"/>
          <w:i w:val="0"/>
          <w:caps w:val="0"/>
          <w:spacing w:val="0"/>
          <w:w w:val="100"/>
          <w:kern w:val="2"/>
          <w:sz w:val="32"/>
          <w:szCs w:val="32"/>
          <w:lang w:val="en-US" w:eastAsia="zh-CN" w:bidi="ar-SA"/>
        </w:rPr>
        <w:t>0</w:t>
      </w:r>
      <w:r>
        <w:rPr>
          <w:rStyle w:val="6"/>
          <w:rFonts w:ascii="仿宋_GB2312" w:hAnsi="黑体" w:eastAsia="仿宋_GB2312"/>
          <w:b w:val="0"/>
          <w:i w:val="0"/>
          <w:caps w:val="0"/>
          <w:spacing w:val="0"/>
          <w:w w:val="100"/>
          <w:kern w:val="2"/>
          <w:sz w:val="32"/>
          <w:szCs w:val="32"/>
          <w:lang w:val="en-US" w:eastAsia="zh-CN" w:bidi="ar-SA"/>
        </w:rPr>
        <w:t>辆，执法执勤用车</w:t>
      </w:r>
      <w:r>
        <w:rPr>
          <w:rStyle w:val="6"/>
          <w:rFonts w:hint="default" w:ascii="仿宋_GB2312" w:hAnsi="黑体" w:eastAsia="仿宋_GB2312"/>
          <w:b w:val="0"/>
          <w:i w:val="0"/>
          <w:caps w:val="0"/>
          <w:spacing w:val="0"/>
          <w:w w:val="100"/>
          <w:kern w:val="2"/>
          <w:sz w:val="32"/>
          <w:szCs w:val="32"/>
          <w:lang w:val="en-US" w:eastAsia="zh-CN" w:bidi="ar-SA"/>
        </w:rPr>
        <w:t>0</w:t>
      </w:r>
      <w:r>
        <w:rPr>
          <w:rStyle w:val="6"/>
          <w:rFonts w:ascii="仿宋_GB2312" w:hAnsi="黑体" w:eastAsia="仿宋_GB2312"/>
          <w:b w:val="0"/>
          <w:i w:val="0"/>
          <w:caps w:val="0"/>
          <w:spacing w:val="0"/>
          <w:w w:val="100"/>
          <w:kern w:val="2"/>
          <w:sz w:val="32"/>
          <w:szCs w:val="32"/>
          <w:lang w:val="en-US" w:eastAsia="zh-CN" w:bidi="ar-SA"/>
        </w:rPr>
        <w:t>辆，特种专业技术用车</w:t>
      </w:r>
      <w:r>
        <w:rPr>
          <w:rStyle w:val="6"/>
          <w:rFonts w:hint="default" w:ascii="仿宋_GB2312" w:hAnsi="黑体" w:eastAsia="仿宋_GB2312"/>
          <w:b w:val="0"/>
          <w:i w:val="0"/>
          <w:caps w:val="0"/>
          <w:spacing w:val="0"/>
          <w:w w:val="100"/>
          <w:kern w:val="2"/>
          <w:sz w:val="32"/>
          <w:szCs w:val="32"/>
          <w:lang w:val="en-US" w:eastAsia="zh-CN" w:bidi="ar-SA"/>
        </w:rPr>
        <w:t>0</w:t>
      </w:r>
      <w:r>
        <w:rPr>
          <w:rStyle w:val="6"/>
          <w:rFonts w:ascii="仿宋_GB2312" w:hAnsi="黑体" w:eastAsia="仿宋_GB2312"/>
          <w:b w:val="0"/>
          <w:i w:val="0"/>
          <w:caps w:val="0"/>
          <w:spacing w:val="0"/>
          <w:w w:val="100"/>
          <w:kern w:val="2"/>
          <w:sz w:val="32"/>
          <w:szCs w:val="32"/>
          <w:lang w:val="en-US" w:eastAsia="zh-CN" w:bidi="ar-SA"/>
        </w:rPr>
        <w:t>辆，离退休干部用车0辆，其他用车</w:t>
      </w:r>
      <w:r>
        <w:rPr>
          <w:rStyle w:val="6"/>
          <w:rFonts w:hint="default" w:ascii="仿宋_GB2312" w:hAnsi="黑体" w:eastAsia="仿宋_GB2312"/>
          <w:b w:val="0"/>
          <w:i w:val="0"/>
          <w:caps w:val="0"/>
          <w:spacing w:val="0"/>
          <w:w w:val="100"/>
          <w:kern w:val="2"/>
          <w:sz w:val="32"/>
          <w:szCs w:val="32"/>
          <w:lang w:val="en-US" w:eastAsia="zh-CN" w:bidi="ar-SA"/>
        </w:rPr>
        <w:t>0</w:t>
      </w:r>
      <w:r>
        <w:rPr>
          <w:rStyle w:val="6"/>
          <w:rFonts w:ascii="仿宋_GB2312" w:hAnsi="黑体" w:eastAsia="仿宋_GB2312"/>
          <w:b w:val="0"/>
          <w:i w:val="0"/>
          <w:caps w:val="0"/>
          <w:spacing w:val="0"/>
          <w:w w:val="100"/>
          <w:kern w:val="2"/>
          <w:sz w:val="32"/>
          <w:szCs w:val="32"/>
          <w:lang w:val="en-US" w:eastAsia="zh-CN" w:bidi="ar-SA"/>
        </w:rPr>
        <w:t>辆，其他用车主要是……；单位价值50万元以上通用设备</w:t>
      </w:r>
      <w:r>
        <w:rPr>
          <w:rStyle w:val="6"/>
          <w:rFonts w:hint="default" w:ascii="仿宋_GB2312" w:hAnsi="黑体" w:eastAsia="仿宋_GB2312"/>
          <w:b w:val="0"/>
          <w:i w:val="0"/>
          <w:caps w:val="0"/>
          <w:spacing w:val="0"/>
          <w:w w:val="100"/>
          <w:kern w:val="2"/>
          <w:sz w:val="32"/>
          <w:szCs w:val="32"/>
          <w:lang w:val="en-US" w:eastAsia="zh-CN" w:bidi="ar-SA"/>
        </w:rPr>
        <w:t>0</w:t>
      </w:r>
      <w:r>
        <w:rPr>
          <w:rStyle w:val="6"/>
          <w:rFonts w:ascii="仿宋_GB2312" w:hAnsi="黑体" w:eastAsia="仿宋_GB2312"/>
          <w:b w:val="0"/>
          <w:i w:val="0"/>
          <w:caps w:val="0"/>
          <w:spacing w:val="0"/>
          <w:w w:val="100"/>
          <w:kern w:val="2"/>
          <w:sz w:val="32"/>
          <w:szCs w:val="32"/>
          <w:lang w:val="en-US" w:eastAsia="zh-CN" w:bidi="ar-SA"/>
        </w:rPr>
        <w:t>台（套），单价100万元以上专用设备0台（套）。</w:t>
      </w:r>
    </w:p>
    <w:p>
      <w:pPr>
        <w:widowControl/>
        <w:snapToGrid/>
        <w:spacing w:before="0" w:beforeAutospacing="0" w:after="0" w:afterAutospacing="0" w:line="540" w:lineRule="exact"/>
        <w:ind w:firstLine="642" w:firstLineChars="200"/>
        <w:jc w:val="left"/>
        <w:textAlignment w:val="baseline"/>
        <w:rPr>
          <w:rStyle w:val="6"/>
          <w:rFonts w:ascii="Times New Roman" w:hAnsi="Times New Roman" w:eastAsia="宋体"/>
          <w:b w:val="0"/>
          <w:i w:val="0"/>
          <w:caps w:val="0"/>
          <w:spacing w:val="0"/>
          <w:w w:val="100"/>
          <w:kern w:val="2"/>
          <w:sz w:val="21"/>
          <w:szCs w:val="24"/>
          <w:lang w:val="en-US" w:eastAsia="zh-CN" w:bidi="ar-SA"/>
        </w:rPr>
      </w:pPr>
      <w:r>
        <w:rPr>
          <w:rStyle w:val="6"/>
          <w:rFonts w:ascii="楷体_GB2312" w:hAnsi="宋体" w:eastAsia="楷体_GB2312"/>
          <w:b/>
          <w:i w:val="0"/>
          <w:caps w:val="0"/>
          <w:spacing w:val="0"/>
          <w:w w:val="100"/>
          <w:kern w:val="2"/>
          <w:sz w:val="32"/>
          <w:szCs w:val="32"/>
          <w:lang w:val="en-US" w:eastAsia="zh-CN"/>
        </w:rPr>
        <w:t>（四）预算绩效情况。</w:t>
      </w:r>
    </w:p>
    <w:p>
      <w:pPr>
        <w:widowControl/>
        <w:snapToGrid/>
        <w:spacing w:before="0" w:beforeAutospacing="0" w:after="0" w:afterAutospacing="0" w:line="520" w:lineRule="exact"/>
        <w:ind w:firstLine="642" w:firstLineChars="200"/>
        <w:jc w:val="left"/>
        <w:textAlignment w:val="baseline"/>
        <w:rPr>
          <w:rStyle w:val="6"/>
          <w:rFonts w:ascii="仿宋_GB2312" w:hAnsi="仿宋_GB2312" w:eastAsia="仿宋_GB2312"/>
          <w:b w:val="0"/>
          <w:i w:val="0"/>
          <w:caps w:val="0"/>
          <w:spacing w:val="0"/>
          <w:w w:val="100"/>
          <w:kern w:val="2"/>
          <w:sz w:val="21"/>
          <w:szCs w:val="24"/>
          <w:lang w:val="en-US" w:eastAsia="zh-CN" w:bidi="ar-SA"/>
        </w:rPr>
      </w:pPr>
      <w:r>
        <w:rPr>
          <w:rStyle w:val="6"/>
          <w:rFonts w:ascii="仿宋_GB2312" w:hAnsi="仿宋_GB2312" w:eastAsia="仿宋_GB2312"/>
          <w:b/>
          <w:i w:val="0"/>
          <w:caps w:val="0"/>
          <w:spacing w:val="0"/>
          <w:w w:val="100"/>
          <w:kern w:val="2"/>
          <w:sz w:val="32"/>
          <w:szCs w:val="32"/>
          <w:lang w:val="en-US" w:eastAsia="zh-CN"/>
        </w:rPr>
        <w:t>1.预算绩效管理工作开展情况。</w:t>
      </w:r>
    </w:p>
    <w:p>
      <w:pPr>
        <w:widowControl/>
        <w:snapToGrid/>
        <w:spacing w:before="0" w:beforeAutospacing="0" w:after="0" w:afterAutospacing="0" w:line="520" w:lineRule="exact"/>
        <w:ind w:firstLine="642" w:firstLineChars="200"/>
        <w:jc w:val="left"/>
        <w:textAlignment w:val="baseline"/>
        <w:rPr>
          <w:rStyle w:val="6"/>
          <w:rFonts w:ascii="Times New Roman" w:hAnsi="Times New Roman" w:eastAsia="宋体"/>
          <w:b w:val="0"/>
          <w:i w:val="0"/>
          <w:caps w:val="0"/>
          <w:spacing w:val="0"/>
          <w:w w:val="100"/>
          <w:kern w:val="2"/>
          <w:sz w:val="21"/>
          <w:szCs w:val="24"/>
          <w:lang w:val="en-US" w:eastAsia="zh-CN" w:bidi="ar-SA"/>
        </w:rPr>
      </w:pPr>
      <w:r>
        <w:rPr>
          <w:rStyle w:val="6"/>
          <w:rFonts w:hAnsi="宋体" w:eastAsia="仿宋_GB2312" w:cs="仿宋_GB2312"/>
          <w:b/>
          <w:bCs/>
          <w:i w:val="0"/>
          <w:caps w:val="0"/>
          <w:spacing w:val="0"/>
          <w:w w:val="100"/>
          <w:kern w:val="2"/>
          <w:sz w:val="32"/>
          <w:szCs w:val="32"/>
          <w:lang w:val="en-US" w:eastAsia="zh-CN"/>
        </w:rPr>
        <w:t>（1）绩效自评情况。</w:t>
      </w:r>
      <w:r>
        <w:rPr>
          <w:rStyle w:val="6"/>
          <w:rFonts w:ascii="仿宋_GB2312" w:hAnsi="宋体" w:eastAsia="仿宋_GB2312"/>
          <w:b w:val="0"/>
          <w:i w:val="0"/>
          <w:caps w:val="0"/>
          <w:spacing w:val="0"/>
          <w:w w:val="100"/>
          <w:kern w:val="2"/>
          <w:sz w:val="32"/>
          <w:szCs w:val="32"/>
          <w:lang w:val="en-US" w:eastAsia="zh-CN"/>
        </w:rPr>
        <w:t>根据预算</w:t>
      </w:r>
      <w:r>
        <w:rPr>
          <w:rStyle w:val="6"/>
          <w:rFonts w:hAnsi="宋体" w:eastAsia="仿宋_GB2312"/>
          <w:b w:val="0"/>
          <w:i w:val="0"/>
          <w:caps w:val="0"/>
          <w:spacing w:val="0"/>
          <w:w w:val="100"/>
          <w:kern w:val="2"/>
          <w:sz w:val="32"/>
          <w:szCs w:val="32"/>
          <w:lang w:val="en-US" w:eastAsia="zh-CN"/>
        </w:rPr>
        <w:t>绩效</w:t>
      </w:r>
      <w:r>
        <w:rPr>
          <w:rStyle w:val="6"/>
          <w:rFonts w:ascii="仿宋_GB2312" w:hAnsi="宋体" w:eastAsia="仿宋_GB2312"/>
          <w:b w:val="0"/>
          <w:i w:val="0"/>
          <w:caps w:val="0"/>
          <w:spacing w:val="0"/>
          <w:w w:val="100"/>
          <w:kern w:val="2"/>
          <w:sz w:val="32"/>
          <w:szCs w:val="32"/>
          <w:lang w:val="en-US" w:eastAsia="zh-CN"/>
        </w:rPr>
        <w:t>管理要求，我部门组织对2021年度预算项目支出全面开展绩效自评，共涉及预算支出项目</w:t>
      </w:r>
      <w:r>
        <w:rPr>
          <w:rStyle w:val="6"/>
          <w:rFonts w:hint="default" w:ascii="仿宋_GB2312" w:hAnsi="宋体" w:eastAsia="仿宋_GB2312"/>
          <w:b w:val="0"/>
          <w:i w:val="0"/>
          <w:caps w:val="0"/>
          <w:spacing w:val="0"/>
          <w:w w:val="100"/>
          <w:kern w:val="2"/>
          <w:sz w:val="32"/>
          <w:szCs w:val="32"/>
          <w:lang w:val="en-US" w:eastAsia="zh-CN"/>
        </w:rPr>
        <w:t>0</w:t>
      </w:r>
      <w:r>
        <w:rPr>
          <w:rStyle w:val="6"/>
          <w:rFonts w:ascii="仿宋_GB2312" w:hAnsi="宋体" w:eastAsia="仿宋_GB2312"/>
          <w:b w:val="0"/>
          <w:i w:val="0"/>
          <w:caps w:val="0"/>
          <w:spacing w:val="0"/>
          <w:w w:val="100"/>
          <w:kern w:val="2"/>
          <w:sz w:val="32"/>
          <w:szCs w:val="32"/>
          <w:lang w:val="en-US" w:eastAsia="zh-CN"/>
        </w:rPr>
        <w:t>个，涉及资金</w:t>
      </w:r>
      <w:r>
        <w:rPr>
          <w:rStyle w:val="6"/>
          <w:rFonts w:hint="default" w:ascii="仿宋_GB2312" w:hAnsi="宋体" w:eastAsia="仿宋_GB2312"/>
          <w:b w:val="0"/>
          <w:i w:val="0"/>
          <w:caps w:val="0"/>
          <w:spacing w:val="0"/>
          <w:w w:val="100"/>
          <w:kern w:val="2"/>
          <w:sz w:val="32"/>
          <w:szCs w:val="32"/>
          <w:lang w:val="en-US" w:eastAsia="zh-CN"/>
        </w:rPr>
        <w:t>0</w:t>
      </w:r>
      <w:r>
        <w:rPr>
          <w:rStyle w:val="6"/>
          <w:rFonts w:ascii="仿宋_GB2312" w:hAnsi="宋体" w:eastAsia="仿宋_GB2312"/>
          <w:b w:val="0"/>
          <w:i w:val="0"/>
          <w:caps w:val="0"/>
          <w:spacing w:val="0"/>
          <w:w w:val="100"/>
          <w:kern w:val="2"/>
          <w:sz w:val="32"/>
          <w:szCs w:val="32"/>
          <w:lang w:val="en-US" w:eastAsia="zh-CN"/>
        </w:rPr>
        <w:t>万元，自评覆盖率（开展绩效自评的项目数/年初批复绩效目标的项目数）达到</w:t>
      </w:r>
      <w:r>
        <w:rPr>
          <w:rStyle w:val="6"/>
          <w:rFonts w:hint="default" w:ascii="仿宋_GB2312" w:hAnsi="宋体" w:eastAsia="仿宋_GB2312"/>
          <w:b w:val="0"/>
          <w:i w:val="0"/>
          <w:caps w:val="0"/>
          <w:spacing w:val="0"/>
          <w:w w:val="100"/>
          <w:kern w:val="2"/>
          <w:sz w:val="32"/>
          <w:szCs w:val="32"/>
          <w:lang w:val="en-US" w:eastAsia="zh-CN"/>
        </w:rPr>
        <w:t>0</w:t>
      </w:r>
      <w:r>
        <w:rPr>
          <w:rStyle w:val="6"/>
          <w:rFonts w:ascii="仿宋_GB2312" w:hAnsi="宋体" w:eastAsia="仿宋_GB2312"/>
          <w:b w:val="0"/>
          <w:i w:val="0"/>
          <w:caps w:val="0"/>
          <w:spacing w:val="0"/>
          <w:w w:val="100"/>
          <w:kern w:val="2"/>
          <w:sz w:val="32"/>
          <w:szCs w:val="32"/>
          <w:lang w:val="en-US" w:eastAsia="zh-CN"/>
        </w:rPr>
        <w:t>%，自评平均分（开展绩效自评的项目分数总和/开展绩效自评的项目数）</w:t>
      </w:r>
      <w:r>
        <w:rPr>
          <w:rStyle w:val="6"/>
          <w:rFonts w:hint="default" w:ascii="仿宋_GB2312" w:hAnsi="宋体" w:eastAsia="仿宋_GB2312"/>
          <w:b w:val="0"/>
          <w:i w:val="0"/>
          <w:caps w:val="0"/>
          <w:spacing w:val="0"/>
          <w:w w:val="100"/>
          <w:kern w:val="2"/>
          <w:sz w:val="32"/>
          <w:szCs w:val="32"/>
          <w:lang w:val="en-US" w:eastAsia="zh-CN"/>
        </w:rPr>
        <w:t>0</w:t>
      </w:r>
      <w:r>
        <w:rPr>
          <w:rStyle w:val="6"/>
          <w:rFonts w:ascii="仿宋_GB2312" w:hAnsi="宋体" w:eastAsia="仿宋_GB2312"/>
          <w:b w:val="0"/>
          <w:i w:val="0"/>
          <w:caps w:val="0"/>
          <w:spacing w:val="0"/>
          <w:w w:val="100"/>
          <w:kern w:val="2"/>
          <w:sz w:val="32"/>
          <w:szCs w:val="32"/>
          <w:lang w:val="en-US" w:eastAsia="zh-CN"/>
        </w:rPr>
        <w:t>分。</w:t>
      </w:r>
      <w:r>
        <w:rPr>
          <w:rStyle w:val="6"/>
          <w:rFonts w:hAnsi="宋体" w:eastAsia="仿宋_GB2312"/>
          <w:b w:val="0"/>
          <w:i w:val="0"/>
          <w:caps w:val="0"/>
          <w:spacing w:val="0"/>
          <w:w w:val="100"/>
          <w:kern w:val="2"/>
          <w:sz w:val="32"/>
          <w:szCs w:val="32"/>
          <w:lang w:val="en-US" w:eastAsia="zh-CN"/>
        </w:rPr>
        <w:t>组织对</w:t>
      </w:r>
      <w:r>
        <w:rPr>
          <w:rStyle w:val="6"/>
          <w:rFonts w:hint="default" w:ascii="仿宋_GB2312" w:hAnsi="宋体" w:eastAsia="仿宋_GB2312"/>
          <w:b w:val="0"/>
          <w:i w:val="0"/>
          <w:caps w:val="0"/>
          <w:spacing w:val="0"/>
          <w:w w:val="100"/>
          <w:kern w:val="2"/>
          <w:sz w:val="32"/>
          <w:szCs w:val="32"/>
          <w:lang w:val="en-US" w:eastAsia="zh-CN"/>
        </w:rPr>
        <w:t>0</w:t>
      </w:r>
      <w:r>
        <w:rPr>
          <w:rStyle w:val="6"/>
          <w:rFonts w:hAnsi="宋体" w:eastAsia="仿宋_GB2312"/>
          <w:b w:val="0"/>
          <w:i w:val="0"/>
          <w:caps w:val="0"/>
          <w:spacing w:val="0"/>
          <w:w w:val="100"/>
          <w:kern w:val="2"/>
          <w:sz w:val="32"/>
          <w:szCs w:val="32"/>
          <w:lang w:val="en-US" w:eastAsia="zh-CN"/>
        </w:rPr>
        <w:t>个单位开展整体绩效自评，涉及资金</w:t>
      </w:r>
      <w:r>
        <w:rPr>
          <w:rStyle w:val="6"/>
          <w:rFonts w:hint="default" w:ascii="仿宋_GB2312" w:hAnsi="宋体" w:eastAsia="仿宋_GB2312"/>
          <w:b w:val="0"/>
          <w:i w:val="0"/>
          <w:caps w:val="0"/>
          <w:spacing w:val="0"/>
          <w:w w:val="100"/>
          <w:kern w:val="2"/>
          <w:sz w:val="32"/>
          <w:szCs w:val="32"/>
          <w:lang w:val="en-US" w:eastAsia="zh-CN"/>
        </w:rPr>
        <w:t>0</w:t>
      </w:r>
      <w:r>
        <w:rPr>
          <w:rStyle w:val="6"/>
          <w:rFonts w:hAnsi="宋体" w:eastAsia="仿宋_GB2312"/>
          <w:b w:val="0"/>
          <w:i w:val="0"/>
          <w:caps w:val="0"/>
          <w:spacing w:val="0"/>
          <w:w w:val="100"/>
          <w:kern w:val="2"/>
          <w:sz w:val="32"/>
          <w:szCs w:val="32"/>
          <w:lang w:val="en-US" w:eastAsia="zh-CN"/>
        </w:rPr>
        <w:t>万元，自评平均分</w:t>
      </w:r>
      <w:r>
        <w:rPr>
          <w:rStyle w:val="6"/>
          <w:rFonts w:hint="default" w:ascii="仿宋_GB2312" w:hAnsi="宋体" w:eastAsia="仿宋_GB2312"/>
          <w:b w:val="0"/>
          <w:i w:val="0"/>
          <w:caps w:val="0"/>
          <w:spacing w:val="0"/>
          <w:w w:val="100"/>
          <w:kern w:val="2"/>
          <w:sz w:val="32"/>
          <w:szCs w:val="32"/>
          <w:lang w:val="en-US" w:eastAsia="zh-CN"/>
        </w:rPr>
        <w:t>0</w:t>
      </w:r>
      <w:r>
        <w:rPr>
          <w:rStyle w:val="6"/>
          <w:rFonts w:hAnsi="宋体" w:eastAsia="仿宋_GB2312"/>
          <w:b w:val="0"/>
          <w:i w:val="0"/>
          <w:caps w:val="0"/>
          <w:spacing w:val="0"/>
          <w:w w:val="100"/>
          <w:kern w:val="2"/>
          <w:sz w:val="32"/>
          <w:szCs w:val="32"/>
          <w:lang w:val="en-US" w:eastAsia="zh-CN"/>
        </w:rPr>
        <w:t>分。</w:t>
      </w:r>
    </w:p>
    <w:p>
      <w:pPr>
        <w:snapToGrid/>
        <w:spacing w:before="0" w:beforeAutospacing="0" w:after="0" w:afterAutospacing="0" w:line="240" w:lineRule="auto"/>
        <w:ind w:firstLine="642" w:firstLineChars="200"/>
        <w:jc w:val="both"/>
        <w:textAlignment w:val="baseline"/>
        <w:rPr>
          <w:rStyle w:val="6"/>
          <w:rFonts w:ascii="仿宋_GB2312" w:hAnsi="宋体" w:eastAsia="仿宋_GB2312"/>
          <w:b w:val="0"/>
          <w:i w:val="0"/>
          <w:caps w:val="0"/>
          <w:spacing w:val="0"/>
          <w:w w:val="100"/>
          <w:kern w:val="2"/>
          <w:sz w:val="32"/>
          <w:szCs w:val="32"/>
          <w:lang w:val="en-US" w:eastAsia="zh-CN" w:bidi="ar-SA"/>
        </w:rPr>
      </w:pPr>
      <w:r>
        <w:rPr>
          <w:rStyle w:val="6"/>
          <w:rFonts w:hAnsi="宋体" w:eastAsia="仿宋_GB2312" w:cs="仿宋_GB2312"/>
          <w:b/>
          <w:bCs/>
          <w:i w:val="0"/>
          <w:caps w:val="0"/>
          <w:spacing w:val="0"/>
          <w:w w:val="100"/>
          <w:kern w:val="2"/>
          <w:sz w:val="32"/>
          <w:szCs w:val="32"/>
          <w:lang w:val="en-US" w:eastAsia="zh-CN"/>
        </w:rPr>
        <w:t>（2）部门评价情况。</w:t>
      </w:r>
      <w:r>
        <w:rPr>
          <w:rStyle w:val="6"/>
          <w:rFonts w:hAnsi="宋体" w:eastAsia="仿宋_GB2312"/>
          <w:b w:val="0"/>
          <w:i w:val="0"/>
          <w:caps w:val="0"/>
          <w:spacing w:val="0"/>
          <w:w w:val="100"/>
          <w:kern w:val="2"/>
          <w:sz w:val="32"/>
          <w:szCs w:val="32"/>
          <w:lang w:val="en-US" w:eastAsia="zh-CN"/>
        </w:rPr>
        <w:t>我部门</w:t>
      </w:r>
      <w:r>
        <w:rPr>
          <w:rStyle w:val="6"/>
          <w:rFonts w:ascii="仿宋" w:hAnsi="仿宋" w:eastAsia="仿宋"/>
          <w:b w:val="0"/>
          <w:i w:val="0"/>
          <w:caps w:val="0"/>
          <w:spacing w:val="0"/>
          <w:w w:val="100"/>
          <w:kern w:val="2"/>
          <w:sz w:val="32"/>
          <w:szCs w:val="24"/>
          <w:lang w:val="en-US" w:eastAsia="zh-CN" w:bidi="ar-SA"/>
        </w:rPr>
        <w:t>组织对“</w:t>
      </w:r>
      <w:r>
        <w:rPr>
          <w:rStyle w:val="6"/>
          <w:rFonts w:hint="default" w:ascii="仿宋_GB2312" w:hAnsi="宋体" w:eastAsia="仿宋_GB2312"/>
          <w:b w:val="0"/>
          <w:i w:val="0"/>
          <w:caps w:val="0"/>
          <w:spacing w:val="0"/>
          <w:w w:val="100"/>
          <w:kern w:val="2"/>
          <w:sz w:val="32"/>
          <w:szCs w:val="32"/>
          <w:lang w:val="en-US" w:eastAsia="zh-CN"/>
        </w:rPr>
        <w:t>0</w:t>
      </w:r>
      <w:r>
        <w:rPr>
          <w:rStyle w:val="6"/>
          <w:rFonts w:ascii="仿宋" w:hAnsi="仿宋" w:eastAsia="仿宋"/>
          <w:b w:val="0"/>
          <w:i w:val="0"/>
          <w:caps w:val="0"/>
          <w:spacing w:val="0"/>
          <w:w w:val="100"/>
          <w:kern w:val="2"/>
          <w:sz w:val="32"/>
          <w:szCs w:val="24"/>
          <w:lang w:val="en-US" w:eastAsia="zh-CN" w:bidi="ar-SA"/>
        </w:rPr>
        <w:t>等</w:t>
      </w:r>
      <w:r>
        <w:rPr>
          <w:rStyle w:val="6"/>
          <w:rFonts w:hint="default" w:ascii="仿宋" w:hAnsi="仿宋" w:eastAsia="仿宋"/>
          <w:b w:val="0"/>
          <w:i w:val="0"/>
          <w:caps w:val="0"/>
          <w:spacing w:val="0"/>
          <w:w w:val="100"/>
          <w:kern w:val="2"/>
          <w:sz w:val="32"/>
          <w:szCs w:val="24"/>
          <w:lang w:val="en-US" w:eastAsia="zh-CN" w:bidi="ar-SA"/>
        </w:rPr>
        <w:t>0</w:t>
      </w:r>
      <w:r>
        <w:rPr>
          <w:rStyle w:val="6"/>
          <w:rFonts w:ascii="仿宋" w:hAnsi="仿宋" w:eastAsia="仿宋"/>
          <w:b w:val="0"/>
          <w:i w:val="0"/>
          <w:caps w:val="0"/>
          <w:spacing w:val="0"/>
          <w:w w:val="100"/>
          <w:kern w:val="2"/>
          <w:sz w:val="32"/>
          <w:szCs w:val="24"/>
          <w:lang w:val="en-US" w:eastAsia="zh-CN" w:bidi="ar-SA"/>
        </w:rPr>
        <w:t>个项目开展了部门评价，</w:t>
      </w:r>
      <w:r>
        <w:rPr>
          <w:rStyle w:val="6"/>
          <w:rFonts w:hAnsi="宋体" w:eastAsia="仿宋_GB2312"/>
          <w:b w:val="0"/>
          <w:i w:val="0"/>
          <w:caps w:val="0"/>
          <w:spacing w:val="0"/>
          <w:w w:val="100"/>
          <w:kern w:val="2"/>
          <w:sz w:val="32"/>
          <w:szCs w:val="32"/>
          <w:lang w:val="en-US" w:eastAsia="zh-CN"/>
        </w:rPr>
        <w:t>涉及资金</w:t>
      </w:r>
      <w:r>
        <w:rPr>
          <w:rStyle w:val="6"/>
          <w:rFonts w:hint="default" w:ascii="仿宋_GB2312" w:hAnsi="宋体" w:eastAsia="仿宋_GB2312"/>
          <w:b w:val="0"/>
          <w:i w:val="0"/>
          <w:caps w:val="0"/>
          <w:spacing w:val="0"/>
          <w:w w:val="100"/>
          <w:kern w:val="2"/>
          <w:sz w:val="32"/>
          <w:szCs w:val="32"/>
          <w:lang w:val="en-US" w:eastAsia="zh-CN"/>
        </w:rPr>
        <w:t>0</w:t>
      </w:r>
      <w:r>
        <w:rPr>
          <w:rStyle w:val="6"/>
          <w:rFonts w:hAnsi="宋体" w:eastAsia="仿宋_GB2312"/>
          <w:b w:val="0"/>
          <w:i w:val="0"/>
          <w:caps w:val="0"/>
          <w:spacing w:val="0"/>
          <w:w w:val="100"/>
          <w:kern w:val="2"/>
          <w:sz w:val="32"/>
          <w:szCs w:val="32"/>
          <w:lang w:val="en-US" w:eastAsia="zh-CN"/>
        </w:rPr>
        <w:t>万元。</w:t>
      </w:r>
      <w:r>
        <w:rPr>
          <w:rStyle w:val="6"/>
          <w:rFonts w:ascii="仿宋" w:hAnsi="仿宋" w:eastAsia="仿宋"/>
          <w:b w:val="0"/>
          <w:i w:val="0"/>
          <w:caps w:val="0"/>
          <w:spacing w:val="0"/>
          <w:w w:val="100"/>
          <w:kern w:val="2"/>
          <w:sz w:val="32"/>
          <w:szCs w:val="24"/>
          <w:lang w:val="en-US" w:eastAsia="zh-CN" w:bidi="ar-SA"/>
        </w:rPr>
        <w:t>其中，对</w:t>
      </w:r>
      <w:r>
        <w:rPr>
          <w:rStyle w:val="6"/>
          <w:rFonts w:hint="default" w:hAnsi="宋体" w:eastAsia="仿宋_GB2312"/>
          <w:b w:val="0"/>
          <w:i w:val="0"/>
          <w:caps w:val="0"/>
          <w:spacing w:val="0"/>
          <w:w w:val="100"/>
          <w:kern w:val="2"/>
          <w:sz w:val="32"/>
          <w:szCs w:val="32"/>
          <w:lang w:val="en-US" w:eastAsia="zh-CN"/>
        </w:rPr>
        <w:t>0</w:t>
      </w:r>
      <w:r>
        <w:rPr>
          <w:rStyle w:val="6"/>
          <w:rFonts w:hAnsi="宋体" w:eastAsia="仿宋_GB2312"/>
          <w:b w:val="0"/>
          <w:i w:val="0"/>
          <w:caps w:val="0"/>
          <w:spacing w:val="0"/>
          <w:w w:val="100"/>
          <w:kern w:val="2"/>
          <w:sz w:val="32"/>
          <w:szCs w:val="32"/>
          <w:lang w:val="en-US" w:eastAsia="zh-CN"/>
        </w:rPr>
        <w:t>等项目分别委托</w:t>
      </w:r>
      <w:r>
        <w:rPr>
          <w:rStyle w:val="6"/>
          <w:rFonts w:hint="default" w:ascii="仿宋" w:hAnsi="仿宋" w:eastAsia="仿宋"/>
          <w:b w:val="0"/>
          <w:i w:val="0"/>
          <w:caps w:val="0"/>
          <w:spacing w:val="0"/>
          <w:w w:val="100"/>
          <w:kern w:val="2"/>
          <w:sz w:val="32"/>
          <w:szCs w:val="24"/>
          <w:lang w:val="en-US" w:eastAsia="zh-CN" w:bidi="ar-SA"/>
        </w:rPr>
        <w:t>0</w:t>
      </w:r>
      <w:r>
        <w:rPr>
          <w:rStyle w:val="6"/>
          <w:rFonts w:ascii="仿宋" w:hAnsi="仿宋" w:eastAsia="仿宋"/>
          <w:b w:val="0"/>
          <w:i w:val="0"/>
          <w:caps w:val="0"/>
          <w:spacing w:val="0"/>
          <w:w w:val="100"/>
          <w:kern w:val="2"/>
          <w:sz w:val="32"/>
          <w:szCs w:val="24"/>
          <w:lang w:val="en-US" w:eastAsia="zh-CN" w:bidi="ar-SA"/>
        </w:rPr>
        <w:t>等第三方机构开展绩效评价</w:t>
      </w:r>
      <w:r>
        <w:rPr>
          <w:rStyle w:val="6"/>
          <w:rFonts w:hAnsi="宋体" w:eastAsia="仿宋_GB2312"/>
          <w:b w:val="0"/>
          <w:i w:val="0"/>
          <w:caps w:val="0"/>
          <w:spacing w:val="0"/>
          <w:w w:val="100"/>
          <w:kern w:val="2"/>
          <w:sz w:val="32"/>
          <w:szCs w:val="32"/>
          <w:lang w:val="en-US" w:eastAsia="zh-CN"/>
        </w:rPr>
        <w:t>。通过部门绩效评价发现主要存在以下问题：</w:t>
      </w:r>
      <w:r>
        <w:rPr>
          <w:rStyle w:val="6"/>
          <w:rFonts w:ascii="仿宋_GB2312" w:hAnsi="宋体" w:eastAsia="仿宋_GB2312"/>
          <w:b w:val="0"/>
          <w:i w:val="0"/>
          <w:caps w:val="0"/>
          <w:spacing w:val="0"/>
          <w:w w:val="100"/>
          <w:kern w:val="2"/>
          <w:sz w:val="32"/>
          <w:szCs w:val="32"/>
          <w:lang w:val="en-US" w:eastAsia="zh-CN" w:bidi="ar-SA"/>
        </w:rPr>
        <w:t>一是预算项目支出绩效管理工作的理念还需要进一步加强，对预算项目支出绩效管理工作的主动性和积极性需进一步提高；二是预算项目支出绩效管理制度还不够完善，操作性不强。下一步将采取以下措施加以改进：一是强化预算支出责任意识，增强绩效管理理念；二是完善制度，推进落实。进一步完善绩效管理工作制度和办法，力求规范、完整、可操作；加强事前、事中、事后的全过程控制，使绩效管理各环节有效衔接，提高绩效管理行。为的连续性和完整性。三是加强预算执行的管理，对预算项目绩效进行监控。开展重点项目跟踪问效，掌握项目的实施进度、项目资金管理使用情况、效益实现情况、项目存在的问题及原因，对绩效目标完成情况进行评价，并按规定对绩效信息进行公开，接受监督，全面提高资金使用效益。</w:t>
      </w:r>
    </w:p>
    <w:p>
      <w:pPr>
        <w:widowControl/>
        <w:snapToGrid/>
        <w:spacing w:before="0" w:beforeAutospacing="0" w:after="0" w:afterAutospacing="0" w:line="520" w:lineRule="exact"/>
        <w:ind w:firstLine="640" w:firstLineChars="200"/>
        <w:jc w:val="left"/>
        <w:textAlignment w:val="baseline"/>
        <w:rPr>
          <w:rStyle w:val="6"/>
          <w:rFonts w:ascii="仿宋_GB2312" w:hAnsi="宋体" w:eastAsia="仿宋_GB2312"/>
          <w:b w:val="0"/>
          <w:i w:val="0"/>
          <w:caps w:val="0"/>
          <w:spacing w:val="0"/>
          <w:w w:val="100"/>
          <w:kern w:val="2"/>
          <w:sz w:val="32"/>
          <w:szCs w:val="32"/>
          <w:lang w:val="en-US" w:eastAsia="zh-CN"/>
        </w:rPr>
      </w:pPr>
    </w:p>
    <w:p>
      <w:pPr>
        <w:widowControl/>
        <w:snapToGrid/>
        <w:spacing w:before="0" w:beforeAutospacing="0" w:after="0" w:afterAutospacing="0" w:line="520" w:lineRule="exact"/>
        <w:ind w:firstLine="642" w:firstLineChars="200"/>
        <w:jc w:val="left"/>
        <w:textAlignment w:val="baseline"/>
        <w:rPr>
          <w:rStyle w:val="6"/>
          <w:rFonts w:ascii="仿宋_GB2312" w:hAnsi="宋体" w:eastAsia="仿宋_GB2312" w:cs="仿宋_GB2312"/>
          <w:b/>
          <w:bCs/>
          <w:i w:val="0"/>
          <w:caps w:val="0"/>
          <w:spacing w:val="0"/>
          <w:w w:val="100"/>
          <w:kern w:val="2"/>
          <w:sz w:val="32"/>
          <w:szCs w:val="32"/>
          <w:lang w:val="en-US" w:eastAsia="zh-CN"/>
        </w:rPr>
      </w:pPr>
      <w:r>
        <w:rPr>
          <w:rStyle w:val="6"/>
          <w:rFonts w:ascii="仿宋_GB2312" w:hAnsi="宋体" w:eastAsia="仿宋_GB2312" w:cs="仿宋_GB2312"/>
          <w:b/>
          <w:bCs/>
          <w:i w:val="0"/>
          <w:caps w:val="0"/>
          <w:spacing w:val="0"/>
          <w:w w:val="100"/>
          <w:kern w:val="2"/>
          <w:sz w:val="32"/>
          <w:szCs w:val="32"/>
          <w:lang w:val="en-US" w:eastAsia="zh-CN"/>
        </w:rPr>
        <w:t>2.部门决算中项目绩效自评结果。</w:t>
      </w:r>
    </w:p>
    <w:p>
      <w:pPr>
        <w:widowControl/>
        <w:snapToGrid/>
        <w:spacing w:before="0" w:beforeAutospacing="0" w:after="0" w:afterAutospacing="0" w:line="240" w:lineRule="auto"/>
        <w:jc w:val="center"/>
        <w:textAlignment w:val="baseline"/>
        <w:rPr>
          <w:rStyle w:val="6"/>
          <w:rFonts w:ascii="仿宋_GB2312" w:hAnsi="宋体" w:eastAsia="仿宋_GB2312"/>
          <w:b w:val="0"/>
          <w:i w:val="0"/>
          <w:caps w:val="0"/>
          <w:spacing w:val="0"/>
          <w:w w:val="100"/>
          <w:kern w:val="2"/>
          <w:sz w:val="32"/>
          <w:szCs w:val="32"/>
          <w:lang w:val="en-US" w:eastAsia="zh-CN"/>
        </w:rPr>
      </w:pPr>
      <w:r>
        <w:rPr>
          <w:rStyle w:val="6"/>
          <w:rFonts w:ascii="仿宋_GB2312" w:hAnsi="宋体" w:eastAsia="仿宋_GB2312"/>
          <w:b w:val="0"/>
          <w:i w:val="0"/>
          <w:caps w:val="0"/>
          <w:spacing w:val="0"/>
          <w:w w:val="100"/>
          <w:kern w:val="2"/>
          <w:sz w:val="32"/>
          <w:szCs w:val="32"/>
          <w:lang w:val="en-US" w:eastAsia="zh-CN"/>
        </w:rPr>
        <w:br w:type="page"/>
      </w:r>
      <w:r>
        <w:drawing>
          <wp:inline distT="0" distB="0" distL="114300" distR="114300">
            <wp:extent cx="4429125" cy="8676005"/>
            <wp:effectExtent l="0" t="0" r="3175" b="1079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6"/>
                    <a:stretch>
                      <a:fillRect/>
                    </a:stretch>
                  </pic:blipFill>
                  <pic:spPr>
                    <a:xfrm>
                      <a:off x="0" y="0"/>
                      <a:ext cx="4429125" cy="8676005"/>
                    </a:xfrm>
                    <a:prstGeom prst="rect">
                      <a:avLst/>
                    </a:prstGeom>
                    <a:noFill/>
                    <a:ln>
                      <a:noFill/>
                    </a:ln>
                  </pic:spPr>
                </pic:pic>
              </a:graphicData>
            </a:graphic>
          </wp:inline>
        </w:drawing>
      </w:r>
    </w:p>
    <w:p>
      <w:pPr>
        <w:widowControl/>
        <w:snapToGrid/>
        <w:spacing w:before="0" w:beforeAutospacing="0" w:after="0" w:afterAutospacing="0" w:line="520" w:lineRule="exact"/>
        <w:jc w:val="center"/>
        <w:textAlignment w:val="baseline"/>
        <w:rPr>
          <w:rStyle w:val="6"/>
          <w:rFonts w:ascii="仿宋_GB2312" w:hAnsi="宋体" w:eastAsia="仿宋_GB2312" w:cs="仿宋_GB2312"/>
          <w:b/>
          <w:bCs/>
          <w:i w:val="0"/>
          <w:caps w:val="0"/>
          <w:spacing w:val="0"/>
          <w:w w:val="100"/>
          <w:kern w:val="2"/>
          <w:sz w:val="32"/>
          <w:szCs w:val="32"/>
          <w:lang w:val="en-US" w:eastAsia="zh-CN"/>
        </w:rPr>
      </w:pPr>
      <w:r>
        <w:drawing>
          <wp:anchor distT="0" distB="0" distL="114300" distR="114300" simplePos="0" relativeHeight="251659264" behindDoc="0" locked="0" layoutInCell="1" allowOverlap="1">
            <wp:simplePos x="0" y="0"/>
            <wp:positionH relativeFrom="column">
              <wp:posOffset>-19050</wp:posOffset>
            </wp:positionH>
            <wp:positionV relativeFrom="paragraph">
              <wp:posOffset>175260</wp:posOffset>
            </wp:positionV>
            <wp:extent cx="5758180" cy="8252460"/>
            <wp:effectExtent l="0" t="0" r="7620" b="2540"/>
            <wp:wrapNone/>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7"/>
                    <a:stretch>
                      <a:fillRect/>
                    </a:stretch>
                  </pic:blipFill>
                  <pic:spPr>
                    <a:xfrm>
                      <a:off x="0" y="0"/>
                      <a:ext cx="5758180" cy="8252460"/>
                    </a:xfrm>
                    <a:prstGeom prst="rect">
                      <a:avLst/>
                    </a:prstGeom>
                    <a:noFill/>
                    <a:ln>
                      <a:noFill/>
                    </a:ln>
                  </pic:spPr>
                </pic:pic>
              </a:graphicData>
            </a:graphic>
          </wp:anchor>
        </w:drawing>
      </w:r>
      <w:r>
        <w:rPr>
          <w:rStyle w:val="6"/>
          <w:rFonts w:ascii="仿宋_GB2312" w:hAnsi="宋体" w:eastAsia="仿宋_GB2312" w:cs="仿宋_GB2312"/>
          <w:b/>
          <w:bCs/>
          <w:i w:val="0"/>
          <w:caps w:val="0"/>
          <w:spacing w:val="0"/>
          <w:w w:val="100"/>
          <w:kern w:val="2"/>
          <w:sz w:val="32"/>
          <w:szCs w:val="32"/>
          <w:lang w:val="en-US" w:eastAsia="zh-CN"/>
        </w:rPr>
        <w:br w:type="page"/>
      </w:r>
    </w:p>
    <w:p>
      <w:pPr>
        <w:widowControl/>
        <w:snapToGrid/>
        <w:spacing w:before="0" w:beforeAutospacing="0" w:after="0" w:afterAutospacing="0" w:line="520" w:lineRule="exact"/>
        <w:ind w:firstLine="2891" w:firstLineChars="800"/>
        <w:jc w:val="both"/>
        <w:textAlignment w:val="baseline"/>
        <w:rPr>
          <w:rStyle w:val="6"/>
          <w:rFonts w:ascii="宋体" w:hAnsi="宋体"/>
          <w:b/>
          <w:i w:val="0"/>
          <w:caps w:val="0"/>
          <w:spacing w:val="0"/>
          <w:w w:val="100"/>
          <w:kern w:val="2"/>
          <w:sz w:val="36"/>
          <w:szCs w:val="36"/>
          <w:lang w:val="en-US" w:eastAsia="zh-CN" w:bidi="ar-SA"/>
        </w:rPr>
      </w:pPr>
      <w:r>
        <w:rPr>
          <w:rStyle w:val="6"/>
          <w:rFonts w:ascii="宋体" w:hAnsi="宋体"/>
          <w:b/>
          <w:i w:val="0"/>
          <w:caps w:val="0"/>
          <w:spacing w:val="0"/>
          <w:w w:val="100"/>
          <w:kern w:val="2"/>
          <w:sz w:val="36"/>
          <w:szCs w:val="36"/>
          <w:lang w:val="en-US" w:eastAsia="zh-CN" w:bidi="ar-SA"/>
        </w:rPr>
        <w:t>第三部分 名词解释</w:t>
      </w:r>
    </w:p>
    <w:p>
      <w:pPr>
        <w:snapToGrid/>
        <w:spacing w:before="0" w:beforeAutospacing="0" w:after="0" w:afterAutospacing="0" w:line="540" w:lineRule="exact"/>
        <w:jc w:val="center"/>
        <w:textAlignment w:val="baseline"/>
        <w:rPr>
          <w:rStyle w:val="6"/>
          <w:rFonts w:ascii="宋体" w:hAnsi="宋体"/>
          <w:b/>
          <w:i w:val="0"/>
          <w:caps w:val="0"/>
          <w:spacing w:val="0"/>
          <w:w w:val="100"/>
          <w:kern w:val="2"/>
          <w:sz w:val="36"/>
          <w:szCs w:val="36"/>
          <w:lang w:val="en-US" w:eastAsia="zh-CN" w:bidi="ar-SA"/>
        </w:rPr>
      </w:pPr>
    </w:p>
    <w:p>
      <w:pPr>
        <w:snapToGrid/>
        <w:spacing w:before="0" w:beforeAutospacing="0" w:after="0" w:afterAutospacing="0" w:line="540" w:lineRule="exact"/>
        <w:ind w:firstLine="642" w:firstLineChars="200"/>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i w:val="0"/>
          <w:caps w:val="0"/>
          <w:spacing w:val="0"/>
          <w:w w:val="100"/>
          <w:kern w:val="2"/>
          <w:sz w:val="32"/>
          <w:szCs w:val="32"/>
          <w:lang w:val="en-US" w:eastAsia="zh-CN" w:bidi="ar-SA"/>
        </w:rPr>
        <w:t>1.财政拨款收入：</w:t>
      </w:r>
      <w:r>
        <w:rPr>
          <w:rStyle w:val="6"/>
          <w:rFonts w:ascii="仿宋_GB2312" w:eastAsia="仿宋_GB2312"/>
          <w:b w:val="0"/>
          <w:i w:val="0"/>
          <w:caps w:val="0"/>
          <w:spacing w:val="0"/>
          <w:w w:val="100"/>
          <w:kern w:val="2"/>
          <w:sz w:val="32"/>
          <w:szCs w:val="32"/>
          <w:lang w:val="en-US" w:eastAsia="zh-CN" w:bidi="ar-SA"/>
        </w:rPr>
        <w:t>指单位从同级财政部门取得的财政预算资金。</w:t>
      </w:r>
    </w:p>
    <w:p>
      <w:pPr>
        <w:snapToGrid/>
        <w:spacing w:before="0" w:beforeAutospacing="0" w:after="0" w:afterAutospacing="0" w:line="540" w:lineRule="exact"/>
        <w:ind w:firstLine="642" w:firstLineChars="200"/>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i w:val="0"/>
          <w:caps w:val="0"/>
          <w:spacing w:val="0"/>
          <w:w w:val="100"/>
          <w:kern w:val="2"/>
          <w:sz w:val="32"/>
          <w:szCs w:val="32"/>
          <w:lang w:val="en-US" w:eastAsia="zh-CN" w:bidi="ar-SA"/>
        </w:rPr>
        <w:t>2.上级补助收入：</w:t>
      </w:r>
      <w:r>
        <w:rPr>
          <w:rStyle w:val="6"/>
          <w:rFonts w:ascii="仿宋_GB2312" w:eastAsia="仿宋_GB2312"/>
          <w:b w:val="0"/>
          <w:i w:val="0"/>
          <w:caps w:val="0"/>
          <w:spacing w:val="0"/>
          <w:w w:val="100"/>
          <w:kern w:val="2"/>
          <w:sz w:val="32"/>
          <w:szCs w:val="32"/>
          <w:lang w:val="en-US" w:eastAsia="zh-CN" w:bidi="ar-SA"/>
        </w:rPr>
        <w:t>指单位从主管部门和上级单位取得的非财政性补助收入。</w:t>
      </w:r>
    </w:p>
    <w:p>
      <w:pPr>
        <w:snapToGrid/>
        <w:spacing w:before="0" w:beforeAutospacing="0" w:after="0" w:afterAutospacing="0" w:line="540" w:lineRule="exact"/>
        <w:ind w:firstLine="642" w:firstLineChars="200"/>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i w:val="0"/>
          <w:caps w:val="0"/>
          <w:spacing w:val="0"/>
          <w:w w:val="100"/>
          <w:kern w:val="2"/>
          <w:sz w:val="32"/>
          <w:szCs w:val="32"/>
          <w:lang w:val="en-US" w:eastAsia="zh-CN" w:bidi="ar-SA"/>
        </w:rPr>
        <w:t>3.事业收入：</w:t>
      </w:r>
      <w:r>
        <w:rPr>
          <w:rStyle w:val="6"/>
          <w:rFonts w:ascii="仿宋_GB2312" w:eastAsia="仿宋_GB2312"/>
          <w:b w:val="0"/>
          <w:i w:val="0"/>
          <w:caps w:val="0"/>
          <w:spacing w:val="0"/>
          <w:w w:val="100"/>
          <w:kern w:val="2"/>
          <w:sz w:val="32"/>
          <w:szCs w:val="32"/>
          <w:lang w:val="en-US" w:eastAsia="zh-CN" w:bidi="ar-SA"/>
        </w:rPr>
        <w:t>指事业单位开展专业业务活动及辅助活动所取得的收入。</w:t>
      </w:r>
    </w:p>
    <w:p>
      <w:pPr>
        <w:snapToGrid/>
        <w:spacing w:before="0" w:beforeAutospacing="0" w:after="0" w:afterAutospacing="0" w:line="540" w:lineRule="exact"/>
        <w:ind w:firstLine="642" w:firstLineChars="200"/>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i w:val="0"/>
          <w:caps w:val="0"/>
          <w:spacing w:val="0"/>
          <w:w w:val="100"/>
          <w:kern w:val="2"/>
          <w:sz w:val="32"/>
          <w:szCs w:val="32"/>
          <w:lang w:val="en-US" w:eastAsia="zh-CN" w:bidi="ar-SA"/>
        </w:rPr>
        <w:t>4.经营收入：</w:t>
      </w:r>
      <w:r>
        <w:rPr>
          <w:rStyle w:val="6"/>
          <w:rFonts w:ascii="仿宋_GB2312" w:eastAsia="仿宋_GB2312"/>
          <w:b w:val="0"/>
          <w:i w:val="0"/>
          <w:caps w:val="0"/>
          <w:spacing w:val="0"/>
          <w:w w:val="100"/>
          <w:kern w:val="2"/>
          <w:sz w:val="32"/>
          <w:szCs w:val="32"/>
          <w:lang w:val="en-US" w:eastAsia="zh-CN" w:bidi="ar-SA"/>
        </w:rPr>
        <w:t>指事业单位在专业业务活动及辅助活动之外开展非独立核算经营活动取得的收入。</w:t>
      </w:r>
    </w:p>
    <w:p>
      <w:pPr>
        <w:snapToGrid/>
        <w:spacing w:before="0" w:beforeAutospacing="0" w:after="0" w:afterAutospacing="0" w:line="540" w:lineRule="exact"/>
        <w:ind w:firstLine="642" w:firstLineChars="200"/>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i w:val="0"/>
          <w:caps w:val="0"/>
          <w:spacing w:val="0"/>
          <w:w w:val="100"/>
          <w:kern w:val="2"/>
          <w:sz w:val="32"/>
          <w:szCs w:val="32"/>
          <w:lang w:val="en-US" w:eastAsia="zh-CN" w:bidi="ar-SA"/>
        </w:rPr>
        <w:t>5.附属单位上缴收入：</w:t>
      </w:r>
      <w:r>
        <w:rPr>
          <w:rStyle w:val="6"/>
          <w:rFonts w:ascii="仿宋_GB2312" w:eastAsia="仿宋_GB2312"/>
          <w:b w:val="0"/>
          <w:i w:val="0"/>
          <w:caps w:val="0"/>
          <w:spacing w:val="0"/>
          <w:w w:val="100"/>
          <w:kern w:val="2"/>
          <w:sz w:val="32"/>
          <w:szCs w:val="32"/>
          <w:lang w:val="en-US" w:eastAsia="zh-CN" w:bidi="ar-SA"/>
        </w:rPr>
        <w:t>指单位附属的独立核算单位按照规定上缴的收入。</w:t>
      </w:r>
    </w:p>
    <w:p>
      <w:pPr>
        <w:snapToGrid/>
        <w:spacing w:before="0" w:beforeAutospacing="0" w:after="0" w:afterAutospacing="0" w:line="540" w:lineRule="exact"/>
        <w:ind w:firstLine="642" w:firstLineChars="200"/>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i w:val="0"/>
          <w:caps w:val="0"/>
          <w:spacing w:val="0"/>
          <w:w w:val="100"/>
          <w:kern w:val="2"/>
          <w:sz w:val="32"/>
          <w:szCs w:val="32"/>
          <w:lang w:val="en-US" w:eastAsia="zh-CN" w:bidi="ar-SA"/>
        </w:rPr>
        <w:t>6.其他收入：</w:t>
      </w:r>
      <w:r>
        <w:rPr>
          <w:rStyle w:val="6"/>
          <w:rFonts w:ascii="仿宋_GB2312" w:eastAsia="仿宋_GB2312"/>
          <w:b w:val="0"/>
          <w:i w:val="0"/>
          <w:caps w:val="0"/>
          <w:spacing w:val="0"/>
          <w:w w:val="100"/>
          <w:kern w:val="2"/>
          <w:sz w:val="32"/>
          <w:szCs w:val="32"/>
          <w:lang w:val="en-US" w:eastAsia="zh-CN" w:bidi="ar-SA"/>
        </w:rPr>
        <w:t>指除上述“财政拨款收入”、</w:t>
      </w:r>
      <w:r>
        <w:rPr>
          <w:rStyle w:val="6"/>
          <w:rFonts w:ascii="仿宋_GB2312" w:eastAsia="仿宋_GB2312"/>
          <w:b/>
          <w:i w:val="0"/>
          <w:caps w:val="0"/>
          <w:spacing w:val="0"/>
          <w:w w:val="100"/>
          <w:kern w:val="2"/>
          <w:sz w:val="32"/>
          <w:szCs w:val="32"/>
          <w:lang w:val="en-US" w:eastAsia="zh-CN" w:bidi="ar-SA"/>
        </w:rPr>
        <w:t xml:space="preserve"> </w:t>
      </w:r>
      <w:r>
        <w:rPr>
          <w:rStyle w:val="6"/>
          <w:rFonts w:ascii="仿宋_GB2312" w:eastAsia="仿宋_GB2312"/>
          <w:b w:val="0"/>
          <w:i w:val="0"/>
          <w:caps w:val="0"/>
          <w:spacing w:val="0"/>
          <w:w w:val="100"/>
          <w:kern w:val="2"/>
          <w:sz w:val="32"/>
          <w:szCs w:val="32"/>
          <w:lang w:val="en-US" w:eastAsia="zh-CN" w:bidi="ar-SA"/>
        </w:rPr>
        <w:t>“上级补助收入”、“事业收入”、“经营收入”、“附属单位上缴收入”等以外的收入。</w:t>
      </w:r>
    </w:p>
    <w:p>
      <w:pPr>
        <w:snapToGrid/>
        <w:spacing w:before="0" w:beforeAutospacing="0" w:after="0" w:afterAutospacing="0" w:line="540" w:lineRule="exact"/>
        <w:ind w:firstLine="642" w:firstLineChars="200"/>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i w:val="0"/>
          <w:caps w:val="0"/>
          <w:spacing w:val="0"/>
          <w:w w:val="100"/>
          <w:kern w:val="2"/>
          <w:sz w:val="32"/>
          <w:szCs w:val="32"/>
          <w:lang w:val="en-US" w:eastAsia="zh-CN" w:bidi="ar-SA"/>
        </w:rPr>
        <w:t>7.使用非财政拨款结余：</w:t>
      </w:r>
      <w:r>
        <w:rPr>
          <w:rStyle w:val="6"/>
          <w:rFonts w:ascii="仿宋_GB2312" w:eastAsia="仿宋_GB2312"/>
          <w:b w:val="0"/>
          <w:i w:val="0"/>
          <w:caps w:val="0"/>
          <w:spacing w:val="0"/>
          <w:w w:val="100"/>
          <w:kern w:val="2"/>
          <w:sz w:val="32"/>
          <w:szCs w:val="32"/>
          <w:lang w:val="en-US" w:eastAsia="zh-CN" w:bidi="ar-SA"/>
        </w:rPr>
        <w:t>指事业单位按照预算管理要求使用非财政拨款结余弥补收支差额的金额。</w:t>
      </w:r>
    </w:p>
    <w:p>
      <w:pPr>
        <w:snapToGrid/>
        <w:spacing w:before="0" w:beforeAutospacing="0" w:after="0" w:afterAutospacing="0" w:line="540" w:lineRule="exact"/>
        <w:ind w:firstLine="642" w:firstLineChars="200"/>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i w:val="0"/>
          <w:caps w:val="0"/>
          <w:spacing w:val="0"/>
          <w:w w:val="100"/>
          <w:kern w:val="2"/>
          <w:sz w:val="32"/>
          <w:szCs w:val="32"/>
          <w:lang w:val="en-US" w:eastAsia="zh-CN" w:bidi="ar-SA"/>
        </w:rPr>
        <w:t>8.上年结转和结余：</w:t>
      </w:r>
      <w:r>
        <w:rPr>
          <w:rStyle w:val="6"/>
          <w:rFonts w:ascii="仿宋_GB2312" w:eastAsia="仿宋_GB2312"/>
          <w:b w:val="0"/>
          <w:i w:val="0"/>
          <w:caps w:val="0"/>
          <w:spacing w:val="0"/>
          <w:w w:val="100"/>
          <w:kern w:val="2"/>
          <w:sz w:val="32"/>
          <w:szCs w:val="32"/>
          <w:lang w:val="en-US" w:eastAsia="zh-CN" w:bidi="ar-SA"/>
        </w:rPr>
        <w:t>指以前年度尚未完成、结转到本年按有关规定继续使用的资金。</w:t>
      </w:r>
    </w:p>
    <w:p>
      <w:pPr>
        <w:snapToGrid/>
        <w:spacing w:before="0" w:beforeAutospacing="0" w:after="0" w:afterAutospacing="0" w:line="540" w:lineRule="exact"/>
        <w:ind w:firstLine="642" w:firstLineChars="200"/>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i w:val="0"/>
          <w:caps w:val="0"/>
          <w:spacing w:val="0"/>
          <w:w w:val="100"/>
          <w:kern w:val="2"/>
          <w:sz w:val="32"/>
          <w:szCs w:val="32"/>
          <w:lang w:val="en-US" w:eastAsia="zh-CN" w:bidi="ar-SA"/>
        </w:rPr>
        <w:t>9.基本支出：</w:t>
      </w:r>
      <w:r>
        <w:rPr>
          <w:rStyle w:val="6"/>
          <w:rFonts w:ascii="仿宋_GB2312" w:eastAsia="仿宋_GB2312"/>
          <w:b w:val="0"/>
          <w:i w:val="0"/>
          <w:caps w:val="0"/>
          <w:spacing w:val="0"/>
          <w:w w:val="100"/>
          <w:kern w:val="2"/>
          <w:sz w:val="32"/>
          <w:szCs w:val="32"/>
          <w:lang w:val="en-US" w:eastAsia="zh-CN" w:bidi="ar-SA"/>
        </w:rPr>
        <w:t>指保障机构正常运转、完成日常工作任务而发生的人员支出和公用支出。</w:t>
      </w:r>
    </w:p>
    <w:p>
      <w:pPr>
        <w:snapToGrid/>
        <w:spacing w:before="0" w:beforeAutospacing="0" w:after="0" w:afterAutospacing="0" w:line="540" w:lineRule="exact"/>
        <w:ind w:firstLine="642" w:firstLineChars="200"/>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i w:val="0"/>
          <w:caps w:val="0"/>
          <w:spacing w:val="0"/>
          <w:w w:val="100"/>
          <w:kern w:val="2"/>
          <w:sz w:val="32"/>
          <w:szCs w:val="32"/>
          <w:lang w:val="en-US" w:eastAsia="zh-CN" w:bidi="ar-SA"/>
        </w:rPr>
        <w:t>10.项目支出：</w:t>
      </w:r>
      <w:r>
        <w:rPr>
          <w:rStyle w:val="6"/>
          <w:rFonts w:ascii="仿宋_GB2312" w:eastAsia="仿宋_GB2312"/>
          <w:b w:val="0"/>
          <w:i w:val="0"/>
          <w:caps w:val="0"/>
          <w:spacing w:val="0"/>
          <w:w w:val="100"/>
          <w:kern w:val="2"/>
          <w:sz w:val="32"/>
          <w:szCs w:val="32"/>
          <w:lang w:val="en-US" w:eastAsia="zh-CN" w:bidi="ar-SA"/>
        </w:rPr>
        <w:t>指在基本支出之外为完成特定行政任务和事业发展目标所发生的支出。</w:t>
      </w:r>
    </w:p>
    <w:p>
      <w:pPr>
        <w:snapToGrid/>
        <w:spacing w:before="0" w:beforeAutospacing="0" w:after="0" w:afterAutospacing="0" w:line="540" w:lineRule="exact"/>
        <w:ind w:firstLine="642" w:firstLineChars="200"/>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i w:val="0"/>
          <w:caps w:val="0"/>
          <w:spacing w:val="0"/>
          <w:w w:val="100"/>
          <w:kern w:val="2"/>
          <w:sz w:val="32"/>
          <w:szCs w:val="32"/>
          <w:lang w:val="en-US" w:eastAsia="zh-CN" w:bidi="ar-SA"/>
        </w:rPr>
        <w:t>11.上缴上级支出：</w:t>
      </w:r>
      <w:r>
        <w:rPr>
          <w:rStyle w:val="6"/>
          <w:rFonts w:ascii="仿宋_GB2312" w:eastAsia="仿宋_GB2312"/>
          <w:b w:val="0"/>
          <w:i w:val="0"/>
          <w:caps w:val="0"/>
          <w:spacing w:val="0"/>
          <w:w w:val="100"/>
          <w:kern w:val="2"/>
          <w:sz w:val="32"/>
          <w:szCs w:val="32"/>
          <w:lang w:val="en-US" w:eastAsia="zh-CN" w:bidi="ar-SA"/>
        </w:rPr>
        <w:t>指事业单位按照财政部门和主管部门的规定上缴上级单位的支出。</w:t>
      </w:r>
    </w:p>
    <w:p>
      <w:pPr>
        <w:snapToGrid/>
        <w:spacing w:before="0" w:beforeAutospacing="0" w:after="0" w:afterAutospacing="0" w:line="540" w:lineRule="exact"/>
        <w:ind w:firstLine="642" w:firstLineChars="200"/>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i w:val="0"/>
          <w:caps w:val="0"/>
          <w:spacing w:val="0"/>
          <w:w w:val="100"/>
          <w:kern w:val="2"/>
          <w:sz w:val="32"/>
          <w:szCs w:val="32"/>
          <w:lang w:val="en-US" w:eastAsia="zh-CN" w:bidi="ar-SA"/>
        </w:rPr>
        <w:t>12.经营支出：</w:t>
      </w:r>
      <w:r>
        <w:rPr>
          <w:rStyle w:val="6"/>
          <w:rFonts w:ascii="仿宋_GB2312" w:eastAsia="仿宋_GB2312"/>
          <w:b w:val="0"/>
          <w:i w:val="0"/>
          <w:caps w:val="0"/>
          <w:spacing w:val="0"/>
          <w:w w:val="100"/>
          <w:kern w:val="2"/>
          <w:sz w:val="32"/>
          <w:szCs w:val="32"/>
          <w:lang w:val="en-US" w:eastAsia="zh-CN" w:bidi="ar-SA"/>
        </w:rPr>
        <w:t>指事业单位在专业活动及辅助活动之外开展非独立核算经营活动发生的支出。</w:t>
      </w:r>
    </w:p>
    <w:p>
      <w:pPr>
        <w:snapToGrid/>
        <w:spacing w:before="0" w:beforeAutospacing="0" w:after="0" w:afterAutospacing="0" w:line="540" w:lineRule="exact"/>
        <w:ind w:firstLine="642" w:firstLineChars="200"/>
        <w:jc w:val="both"/>
        <w:textAlignment w:val="baseline"/>
        <w:rPr>
          <w:rStyle w:val="6"/>
          <w:rFonts w:ascii="仿宋_GB2312" w:eastAsia="仿宋_GB2312"/>
          <w:b/>
          <w:i w:val="0"/>
          <w:caps w:val="0"/>
          <w:spacing w:val="0"/>
          <w:w w:val="100"/>
          <w:kern w:val="2"/>
          <w:sz w:val="32"/>
          <w:szCs w:val="32"/>
          <w:lang w:val="en-US" w:eastAsia="zh-CN" w:bidi="ar-SA"/>
        </w:rPr>
      </w:pPr>
      <w:r>
        <w:rPr>
          <w:rStyle w:val="6"/>
          <w:rFonts w:ascii="仿宋_GB2312" w:eastAsia="仿宋_GB2312"/>
          <w:b/>
          <w:i w:val="0"/>
          <w:caps w:val="0"/>
          <w:spacing w:val="0"/>
          <w:w w:val="100"/>
          <w:kern w:val="2"/>
          <w:sz w:val="32"/>
          <w:szCs w:val="32"/>
          <w:lang w:val="en-US" w:eastAsia="zh-CN" w:bidi="ar-SA"/>
        </w:rPr>
        <w:t>13.对附属单位补助支出：</w:t>
      </w:r>
      <w:r>
        <w:rPr>
          <w:rStyle w:val="6"/>
          <w:rFonts w:ascii="仿宋_GB2312" w:eastAsia="仿宋_GB2312"/>
          <w:b w:val="0"/>
          <w:i w:val="0"/>
          <w:caps w:val="0"/>
          <w:spacing w:val="0"/>
          <w:w w:val="100"/>
          <w:kern w:val="2"/>
          <w:sz w:val="32"/>
          <w:szCs w:val="32"/>
          <w:lang w:val="en-US" w:eastAsia="zh-CN" w:bidi="ar-SA"/>
        </w:rPr>
        <w:t>指事业单位用财政补助收入之外的收入对附属单位补助发生的支出。</w:t>
      </w:r>
    </w:p>
    <w:p>
      <w:pPr>
        <w:snapToGrid/>
        <w:spacing w:before="0" w:beforeAutospacing="0" w:after="0" w:afterAutospacing="0" w:line="540" w:lineRule="exact"/>
        <w:ind w:firstLine="642" w:firstLineChars="200"/>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b/>
          <w:i w:val="0"/>
          <w:caps w:val="0"/>
          <w:spacing w:val="0"/>
          <w:w w:val="100"/>
          <w:kern w:val="2"/>
          <w:sz w:val="32"/>
          <w:szCs w:val="32"/>
          <w:lang w:val="en-US" w:eastAsia="zh-CN" w:bidi="ar-SA"/>
        </w:rPr>
        <w:t>14.“三公”经费：</w:t>
      </w:r>
      <w:r>
        <w:rPr>
          <w:rStyle w:val="6"/>
          <w:rFonts w:ascii="仿宋_GB2312" w:eastAsia="仿宋_GB2312"/>
          <w:b w:val="0"/>
          <w:i w:val="0"/>
          <w:caps w:val="0"/>
          <w:spacing w:val="0"/>
          <w:w w:val="100"/>
          <w:kern w:val="2"/>
          <w:sz w:val="32"/>
          <w:szCs w:val="32"/>
          <w:lang w:val="en-US" w:eastAsia="zh-CN" w:bidi="ar-SA"/>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napToGrid/>
        <w:spacing w:before="0" w:beforeAutospacing="0" w:after="0" w:afterAutospacing="0" w:line="540" w:lineRule="exact"/>
        <w:ind w:firstLine="642" w:firstLineChars="200"/>
        <w:jc w:val="both"/>
        <w:textAlignment w:val="baseline"/>
        <w:rPr>
          <w:rStyle w:val="6"/>
          <w:rFonts w:ascii="仿宋_GB2312" w:eastAsia="仿宋_GB2312"/>
          <w:b w:val="0"/>
          <w:i w:val="0"/>
          <w:caps w:val="0"/>
          <w:spacing w:val="0"/>
          <w:w w:val="100"/>
          <w:kern w:val="2"/>
          <w:sz w:val="32"/>
          <w:szCs w:val="32"/>
          <w:lang w:val="en-US" w:eastAsia="zh-CN" w:bidi="ar-SA"/>
        </w:rPr>
      </w:pPr>
      <w:r>
        <w:rPr>
          <w:rStyle w:val="6"/>
          <w:rFonts w:ascii="仿宋_GB2312" w:eastAsia="仿宋_GB2312" w:cs="Times New Roman"/>
          <w:b/>
          <w:bCs/>
          <w:i w:val="0"/>
          <w:caps w:val="0"/>
          <w:spacing w:val="0"/>
          <w:w w:val="100"/>
          <w:kern w:val="2"/>
          <w:sz w:val="32"/>
          <w:szCs w:val="32"/>
          <w:lang w:val="en-US" w:eastAsia="zh-CN" w:bidi="ar-SA"/>
        </w:rPr>
        <w:t>15.机关运行经费：</w:t>
      </w:r>
      <w:r>
        <w:rPr>
          <w:rStyle w:val="6"/>
          <w:rFonts w:ascii="仿宋_GB2312" w:eastAsia="仿宋_GB2312"/>
          <w:b w:val="0"/>
          <w:i w:val="0"/>
          <w:caps w:val="0"/>
          <w:spacing w:val="0"/>
          <w:w w:val="100"/>
          <w:kern w:val="2"/>
          <w:sz w:val="32"/>
          <w:szCs w:val="32"/>
          <w:lang w:val="en-US" w:eastAsia="zh-CN" w:bidi="ar-SA"/>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napToGrid/>
        <w:spacing w:before="0" w:beforeAutospacing="0" w:after="0" w:afterAutospacing="0" w:line="540" w:lineRule="exact"/>
        <w:ind w:firstLine="642" w:firstLineChars="200"/>
        <w:jc w:val="both"/>
        <w:textAlignment w:val="baseline"/>
        <w:rPr>
          <w:rStyle w:val="6"/>
          <w:rFonts w:ascii="仿宋_GB2312" w:eastAsia="仿宋_GB2312"/>
          <w:b/>
          <w:i w:val="0"/>
          <w:caps w:val="0"/>
          <w:spacing w:val="0"/>
          <w:w w:val="100"/>
          <w:kern w:val="2"/>
          <w:sz w:val="32"/>
          <w:szCs w:val="32"/>
          <w:lang w:val="en-US" w:eastAsia="zh-CN" w:bidi="ar-SA"/>
        </w:rPr>
      </w:pPr>
      <w:r>
        <w:rPr>
          <w:rStyle w:val="6"/>
          <w:rFonts w:ascii="仿宋_GB2312" w:eastAsia="仿宋_GB2312"/>
          <w:b/>
          <w:i w:val="0"/>
          <w:caps w:val="0"/>
          <w:spacing w:val="0"/>
          <w:w w:val="100"/>
          <w:kern w:val="2"/>
          <w:sz w:val="32"/>
          <w:szCs w:val="32"/>
          <w:lang w:val="en-US" w:eastAsia="zh-CN" w:bidi="ar-SA"/>
        </w:rPr>
        <w:t>16.一般公共服务（类）财政事务（款）行政运行（项）：</w:t>
      </w:r>
      <w:r>
        <w:rPr>
          <w:rStyle w:val="6"/>
          <w:rFonts w:ascii="仿宋_GB2312" w:eastAsia="仿宋_GB2312"/>
          <w:b w:val="0"/>
          <w:i w:val="0"/>
          <w:caps w:val="0"/>
          <w:spacing w:val="0"/>
          <w:w w:val="100"/>
          <w:kern w:val="2"/>
          <w:sz w:val="32"/>
          <w:szCs w:val="32"/>
          <w:lang w:val="en-US" w:eastAsia="zh-CN" w:bidi="ar-SA"/>
        </w:rPr>
        <w:t>反映行政单位（包括实行公务员管理的事业单位）的基本支出。</w:t>
      </w:r>
    </w:p>
    <w:p>
      <w:pPr>
        <w:snapToGrid/>
        <w:spacing w:before="0" w:beforeAutospacing="0" w:after="0" w:afterAutospacing="0" w:line="540" w:lineRule="exact"/>
        <w:ind w:firstLine="640" w:firstLineChars="200"/>
        <w:jc w:val="both"/>
        <w:textAlignment w:val="baseline"/>
        <w:rPr>
          <w:rStyle w:val="6"/>
          <w:rFonts w:ascii="仿宋_GB2312" w:eastAsia="仿宋_GB2312"/>
          <w:b/>
          <w:i w:val="0"/>
          <w:caps w:val="0"/>
          <w:spacing w:val="0"/>
          <w:w w:val="100"/>
          <w:kern w:val="2"/>
          <w:sz w:val="32"/>
          <w:szCs w:val="32"/>
          <w:lang w:val="en-US" w:eastAsia="zh-CN" w:bidi="ar-SA"/>
        </w:rPr>
      </w:pPr>
      <w:r>
        <w:rPr>
          <w:rStyle w:val="6"/>
          <w:rFonts w:ascii="仿宋_GB2312" w:eastAsia="仿宋_GB2312"/>
          <w:b w:val="0"/>
          <w:i/>
          <w:caps w:val="0"/>
          <w:spacing w:val="0"/>
          <w:w w:val="100"/>
          <w:kern w:val="2"/>
          <w:sz w:val="32"/>
          <w:szCs w:val="32"/>
          <w:u w:val="single" w:color="000000"/>
          <w:lang w:val="en-US" w:eastAsia="zh-CN" w:bidi="ar-SA"/>
        </w:rPr>
        <w:t>（部门决算涉及的支出功能分类全部项级科目，逐一解释）……</w:t>
      </w: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sectPr>
          <w:footerReference r:id="rId3" w:type="default"/>
          <w:footerReference r:id="rId4" w:type="even"/>
          <w:pgSz w:w="11906" w:h="16838"/>
          <w:pgMar w:top="1701" w:right="1417" w:bottom="1701" w:left="1417" w:header="851" w:footer="992" w:gutter="0"/>
          <w:lnNumType w:countBy="0"/>
          <w:cols w:space="425" w:num="1"/>
          <w:vAlign w:val="top"/>
          <w:docGrid w:type="lines" w:linePitch="312" w:charSpace="0"/>
        </w:sectPr>
      </w:pPr>
    </w:p>
    <w:p>
      <w:pPr>
        <w:snapToGrid/>
        <w:spacing w:before="0" w:beforeAutospacing="0" w:after="0" w:afterAutospacing="0" w:line="540" w:lineRule="exact"/>
        <w:ind w:firstLine="640" w:firstLineChars="200"/>
        <w:jc w:val="left"/>
        <w:textAlignment w:val="baseline"/>
        <w:rPr>
          <w:rStyle w:val="6"/>
          <w:rFonts w:ascii="仿宋_GB2312" w:eastAsia="仿宋_GB2312"/>
          <w:b w:val="0"/>
          <w:i/>
          <w:caps w:val="0"/>
          <w:spacing w:val="0"/>
          <w:w w:val="100"/>
          <w:kern w:val="2"/>
          <w:sz w:val="32"/>
          <w:szCs w:val="32"/>
          <w:u w:val="single"/>
          <w:lang w:val="en-US" w:eastAsia="zh-CN" w:bidi="ar-SA"/>
        </w:rPr>
      </w:pPr>
    </w:p>
    <w:p>
      <w:pPr>
        <w:snapToGrid/>
        <w:spacing w:before="0" w:beforeAutospacing="0" w:after="0" w:afterAutospacing="0" w:line="540" w:lineRule="exact"/>
        <w:jc w:val="both"/>
        <w:textAlignment w:val="baseline"/>
        <w:rPr>
          <w:rStyle w:val="6"/>
          <w:rFonts w:ascii="宋体" w:hAnsi="宋体"/>
          <w:b/>
          <w:i w:val="0"/>
          <w:caps w:val="0"/>
          <w:spacing w:val="0"/>
          <w:w w:val="100"/>
          <w:kern w:val="2"/>
          <w:sz w:val="36"/>
          <w:szCs w:val="36"/>
          <w:lang w:val="en-US" w:eastAsia="zh-CN" w:bidi="ar-SA"/>
        </w:rPr>
      </w:pPr>
    </w:p>
    <w:p>
      <w:pPr>
        <w:snapToGrid/>
        <w:spacing w:before="0" w:beforeAutospacing="0" w:after="0" w:afterAutospacing="0" w:line="540" w:lineRule="exact"/>
        <w:jc w:val="center"/>
        <w:textAlignment w:val="baseline"/>
        <w:rPr>
          <w:rStyle w:val="6"/>
          <w:rFonts w:ascii="宋体" w:hAnsi="宋体"/>
          <w:b/>
          <w:i w:val="0"/>
          <w:caps w:val="0"/>
          <w:spacing w:val="0"/>
          <w:w w:val="100"/>
          <w:kern w:val="2"/>
          <w:sz w:val="36"/>
          <w:szCs w:val="36"/>
          <w:lang w:val="en-US" w:eastAsia="zh-CN" w:bidi="ar-SA"/>
        </w:rPr>
      </w:pPr>
    </w:p>
    <w:p>
      <w:pPr>
        <w:snapToGrid/>
        <w:spacing w:before="0" w:beforeAutospacing="0" w:after="0" w:afterAutospacing="0" w:line="540" w:lineRule="exact"/>
        <w:jc w:val="center"/>
        <w:textAlignment w:val="baseline"/>
        <w:rPr>
          <w:rStyle w:val="6"/>
          <w:rFonts w:ascii="宋体" w:hAnsi="宋体"/>
          <w:b/>
          <w:i w:val="0"/>
          <w:caps w:val="0"/>
          <w:spacing w:val="0"/>
          <w:w w:val="100"/>
          <w:kern w:val="2"/>
          <w:sz w:val="36"/>
          <w:szCs w:val="36"/>
          <w:lang w:val="en-US" w:eastAsia="zh-CN" w:bidi="ar-SA"/>
        </w:rPr>
      </w:pPr>
    </w:p>
    <w:p>
      <w:pPr>
        <w:snapToGrid/>
        <w:spacing w:before="0" w:beforeAutospacing="0" w:after="0" w:afterAutospacing="0" w:line="540" w:lineRule="exact"/>
        <w:jc w:val="center"/>
        <w:textAlignment w:val="baseline"/>
        <w:rPr>
          <w:rStyle w:val="6"/>
          <w:rFonts w:ascii="宋体" w:hAnsi="宋体"/>
          <w:b/>
          <w:i w:val="0"/>
          <w:caps w:val="0"/>
          <w:spacing w:val="0"/>
          <w:w w:val="100"/>
          <w:kern w:val="2"/>
          <w:sz w:val="36"/>
          <w:szCs w:val="36"/>
          <w:lang w:val="en-US" w:eastAsia="zh-CN" w:bidi="ar-SA"/>
        </w:rPr>
      </w:pPr>
    </w:p>
    <w:p>
      <w:pPr>
        <w:snapToGrid/>
        <w:spacing w:before="0" w:beforeAutospacing="0" w:after="0" w:afterAutospacing="0" w:line="540" w:lineRule="exact"/>
        <w:jc w:val="center"/>
        <w:textAlignment w:val="baseline"/>
        <w:rPr>
          <w:rStyle w:val="6"/>
          <w:rFonts w:ascii="宋体" w:hAnsi="宋体"/>
          <w:b/>
          <w:i w:val="0"/>
          <w:caps w:val="0"/>
          <w:spacing w:val="0"/>
          <w:w w:val="100"/>
          <w:kern w:val="2"/>
          <w:sz w:val="36"/>
          <w:szCs w:val="36"/>
          <w:lang w:val="en-US" w:eastAsia="zh-CN" w:bidi="ar-SA"/>
        </w:rPr>
      </w:pPr>
    </w:p>
    <w:p>
      <w:pPr>
        <w:snapToGrid/>
        <w:spacing w:before="0" w:beforeAutospacing="0" w:after="0" w:afterAutospacing="0" w:line="540" w:lineRule="exact"/>
        <w:jc w:val="center"/>
        <w:textAlignment w:val="baseline"/>
        <w:rPr>
          <w:rStyle w:val="6"/>
          <w:rFonts w:ascii="宋体" w:hAnsi="宋体"/>
          <w:b/>
          <w:i w:val="0"/>
          <w:caps w:val="0"/>
          <w:spacing w:val="0"/>
          <w:w w:val="100"/>
          <w:kern w:val="2"/>
          <w:sz w:val="36"/>
          <w:szCs w:val="36"/>
          <w:lang w:val="en-US" w:eastAsia="zh-CN" w:bidi="ar-SA"/>
        </w:rPr>
      </w:pPr>
    </w:p>
    <w:p>
      <w:pPr>
        <w:snapToGrid/>
        <w:spacing w:before="0" w:beforeAutospacing="0" w:after="0" w:afterAutospacing="0" w:line="540" w:lineRule="exact"/>
        <w:jc w:val="center"/>
        <w:textAlignment w:val="baseline"/>
        <w:rPr>
          <w:rStyle w:val="6"/>
          <w:rFonts w:ascii="仿宋_GB2312" w:eastAsia="仿宋_GB2312"/>
          <w:b w:val="0"/>
          <w:i w:val="0"/>
          <w:caps w:val="0"/>
          <w:spacing w:val="0"/>
          <w:w w:val="100"/>
          <w:kern w:val="2"/>
          <w:sz w:val="52"/>
          <w:szCs w:val="52"/>
          <w:lang w:val="en-US" w:eastAsia="zh-CN" w:bidi="ar-SA"/>
        </w:rPr>
      </w:pPr>
      <w:r>
        <w:rPr>
          <w:rStyle w:val="6"/>
          <w:rFonts w:ascii="宋体" w:hAnsi="宋体"/>
          <w:b/>
          <w:i w:val="0"/>
          <w:caps w:val="0"/>
          <w:spacing w:val="0"/>
          <w:w w:val="100"/>
          <w:kern w:val="2"/>
          <w:sz w:val="52"/>
          <w:szCs w:val="52"/>
          <w:lang w:val="en-US" w:eastAsia="zh-CN" w:bidi="ar-SA"/>
        </w:rPr>
        <w:t>第四部分 2021年度部门决算表</w:t>
      </w:r>
    </w:p>
    <w:p>
      <w:pPr>
        <w:snapToGrid/>
        <w:spacing w:before="0" w:beforeAutospacing="0" w:after="0" w:afterAutospacing="0" w:line="540" w:lineRule="exact"/>
        <w:jc w:val="left"/>
        <w:textAlignment w:val="baseline"/>
        <w:rPr>
          <w:rStyle w:val="6"/>
          <w:rFonts w:ascii="Times New Roman" w:hAnsi="Times New Roman" w:eastAsia="宋体"/>
          <w:b w:val="0"/>
          <w:i w:val="0"/>
          <w:caps w:val="0"/>
          <w:spacing w:val="0"/>
          <w:w w:val="100"/>
          <w:kern w:val="2"/>
          <w:sz w:val="32"/>
          <w:szCs w:val="32"/>
          <w:lang w:val="en-US" w:eastAsia="zh-CN" w:bidi="ar-SA"/>
        </w:rPr>
      </w:pPr>
      <w:r>
        <w:rPr>
          <w:rStyle w:val="6"/>
          <w:rFonts w:ascii="Times New Roman" w:hAnsi="Times New Roman" w:eastAsia="宋体"/>
          <w:b w:val="0"/>
          <w:i w:val="0"/>
          <w:caps w:val="0"/>
          <w:spacing w:val="0"/>
          <w:w w:val="100"/>
          <w:kern w:val="2"/>
          <w:sz w:val="32"/>
          <w:szCs w:val="32"/>
          <w:lang w:val="en-US" w:eastAsia="zh-CN" w:bidi="ar-SA"/>
        </w:rPr>
        <w:t xml:space="preserve">                      </w:t>
      </w: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r>
        <w:drawing>
          <wp:anchor distT="0" distB="0" distL="114300" distR="114300" simplePos="0" relativeHeight="251660288" behindDoc="0" locked="0" layoutInCell="1" allowOverlap="1">
            <wp:simplePos x="0" y="0"/>
            <wp:positionH relativeFrom="column">
              <wp:posOffset>38100</wp:posOffset>
            </wp:positionH>
            <wp:positionV relativeFrom="paragraph">
              <wp:posOffset>102870</wp:posOffset>
            </wp:positionV>
            <wp:extent cx="5758815" cy="6815455"/>
            <wp:effectExtent l="0" t="0" r="6985" b="4445"/>
            <wp:wrapNone/>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8"/>
                    <a:stretch>
                      <a:fillRect/>
                    </a:stretch>
                  </pic:blipFill>
                  <pic:spPr>
                    <a:xfrm>
                      <a:off x="0" y="0"/>
                      <a:ext cx="5758815" cy="6815455"/>
                    </a:xfrm>
                    <a:prstGeom prst="rect">
                      <a:avLst/>
                    </a:prstGeom>
                    <a:noFill/>
                    <a:ln>
                      <a:noFill/>
                    </a:ln>
                  </pic:spPr>
                </pic:pic>
              </a:graphicData>
            </a:graphic>
          </wp:anchor>
        </w:drawing>
      </w: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snapToGrid/>
        <w:spacing w:before="0" w:beforeAutospacing="0" w:after="0" w:afterAutospacing="0" w:line="540" w:lineRule="exact"/>
        <w:jc w:val="both"/>
        <w:textAlignment w:val="baseline"/>
        <w:rPr>
          <w:rStyle w:val="6"/>
          <w:rFonts w:ascii="Times New Roman" w:hAnsi="Times New Roman" w:eastAsia="宋体"/>
          <w:b w:val="0"/>
          <w:i w:val="0"/>
          <w:caps w:val="0"/>
          <w:spacing w:val="0"/>
          <w:w w:val="100"/>
          <w:kern w:val="2"/>
          <w:sz w:val="32"/>
          <w:szCs w:val="32"/>
          <w:lang w:val="en-US" w:eastAsia="zh-CN" w:bidi="ar-SA"/>
        </w:rPr>
      </w:pPr>
    </w:p>
    <w:p>
      <w:pPr>
        <w:bidi w:val="0"/>
        <w:rPr>
          <w:rFonts w:ascii="Times New Roman" w:hAnsi="Times New Roman" w:eastAsia="宋体" w:cs="Times New Roman"/>
          <w:b w:val="0"/>
          <w:i w:val="0"/>
          <w:caps w:val="0"/>
          <w:spacing w:val="0"/>
          <w:w w:val="100"/>
          <w:kern w:val="2"/>
          <w:sz w:val="32"/>
          <w:szCs w:val="32"/>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5055"/>
        </w:tabs>
        <w:bidi w:val="0"/>
        <w:jc w:val="left"/>
        <w:rPr>
          <w:rFonts w:hint="eastAsia"/>
          <w:lang w:val="en-US" w:eastAsia="zh-CN"/>
        </w:rPr>
      </w:pPr>
      <w:r>
        <w:rPr>
          <w:rFonts w:hint="eastAsia"/>
          <w:lang w:val="en-US" w:eastAsia="zh-CN"/>
        </w:rPr>
        <w:tab/>
      </w:r>
    </w:p>
    <w:p>
      <w:pPr>
        <w:tabs>
          <w:tab w:val="left" w:pos="5055"/>
        </w:tabs>
        <w:bidi w:val="0"/>
        <w:jc w:val="left"/>
        <w:rPr>
          <w:rFonts w:hint="eastAsia"/>
          <w:lang w:val="en-US" w:eastAsia="zh-CN"/>
        </w:rPr>
      </w:pPr>
    </w:p>
    <w:p>
      <w:pPr>
        <w:tabs>
          <w:tab w:val="left" w:pos="5055"/>
        </w:tabs>
        <w:bidi w:val="0"/>
        <w:jc w:val="left"/>
        <w:rPr>
          <w:rFonts w:hint="eastAsia"/>
          <w:lang w:val="en-US" w:eastAsia="zh-CN"/>
        </w:rPr>
      </w:pPr>
    </w:p>
    <w:p>
      <w:pPr>
        <w:tabs>
          <w:tab w:val="left" w:pos="5055"/>
        </w:tabs>
        <w:bidi w:val="0"/>
        <w:jc w:val="left"/>
      </w:pPr>
      <w:r>
        <w:drawing>
          <wp:inline distT="0" distB="0" distL="114300" distR="114300">
            <wp:extent cx="5758815" cy="3815080"/>
            <wp:effectExtent l="0" t="0" r="6985" b="7620"/>
            <wp:docPr id="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true"/>
                    </pic:cNvPicPr>
                  </pic:nvPicPr>
                  <pic:blipFill>
                    <a:blip r:embed="rId9"/>
                    <a:stretch>
                      <a:fillRect/>
                    </a:stretch>
                  </pic:blipFill>
                  <pic:spPr>
                    <a:xfrm>
                      <a:off x="0" y="0"/>
                      <a:ext cx="5758815" cy="3815080"/>
                    </a:xfrm>
                    <a:prstGeom prst="rect">
                      <a:avLst/>
                    </a:prstGeom>
                    <a:noFill/>
                    <a:ln>
                      <a:noFill/>
                    </a:ln>
                  </pic:spPr>
                </pic:pic>
              </a:graphicData>
            </a:graphic>
          </wp:inline>
        </w:drawing>
      </w:r>
    </w:p>
    <w:p>
      <w:pPr>
        <w:bidi w:val="0"/>
        <w:rPr>
          <w:rFonts w:hint="eastAsia" w:ascii="Times New Roman" w:hAnsi="Times New Roman"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3255"/>
        </w:tabs>
        <w:bidi w:val="0"/>
        <w:jc w:val="left"/>
        <w:rPr>
          <w:rFonts w:hint="eastAsia"/>
          <w:lang w:val="en-US" w:eastAsia="zh-CN"/>
        </w:rPr>
      </w:pPr>
      <w:r>
        <w:rPr>
          <w:rFonts w:hint="eastAsia"/>
          <w:lang w:val="en-US" w:eastAsia="zh-CN"/>
        </w:rPr>
        <w:tab/>
      </w:r>
    </w:p>
    <w:p>
      <w:pPr>
        <w:tabs>
          <w:tab w:val="left" w:pos="3255"/>
        </w:tabs>
        <w:bidi w:val="0"/>
        <w:jc w:val="left"/>
        <w:rPr>
          <w:rFonts w:hint="eastAsia"/>
          <w:lang w:val="en-US" w:eastAsia="zh-CN"/>
        </w:rPr>
      </w:pPr>
    </w:p>
    <w:p>
      <w:pPr>
        <w:tabs>
          <w:tab w:val="left" w:pos="3255"/>
        </w:tabs>
        <w:bidi w:val="0"/>
        <w:jc w:val="left"/>
        <w:rPr>
          <w:rFonts w:hint="eastAsia"/>
          <w:lang w:val="en-US" w:eastAsia="zh-CN"/>
        </w:rPr>
      </w:pPr>
    </w:p>
    <w:p>
      <w:pPr>
        <w:tabs>
          <w:tab w:val="left" w:pos="3255"/>
        </w:tabs>
        <w:bidi w:val="0"/>
        <w:jc w:val="left"/>
        <w:rPr>
          <w:rFonts w:hint="eastAsia"/>
          <w:lang w:val="en-US" w:eastAsia="zh-CN"/>
        </w:rPr>
      </w:pPr>
    </w:p>
    <w:p>
      <w:pPr>
        <w:tabs>
          <w:tab w:val="left" w:pos="3255"/>
        </w:tabs>
        <w:bidi w:val="0"/>
        <w:jc w:val="left"/>
        <w:rPr>
          <w:rFonts w:hint="eastAsia"/>
          <w:lang w:val="en-US" w:eastAsia="zh-CN"/>
        </w:rPr>
      </w:pPr>
    </w:p>
    <w:p>
      <w:pPr>
        <w:tabs>
          <w:tab w:val="left" w:pos="3255"/>
        </w:tabs>
        <w:bidi w:val="0"/>
        <w:jc w:val="left"/>
        <w:rPr>
          <w:rFonts w:hint="eastAsia"/>
          <w:lang w:val="en-US" w:eastAsia="zh-CN"/>
        </w:rPr>
      </w:pPr>
    </w:p>
    <w:p>
      <w:pPr>
        <w:tabs>
          <w:tab w:val="left" w:pos="3255"/>
        </w:tabs>
        <w:bidi w:val="0"/>
        <w:jc w:val="left"/>
      </w:pPr>
    </w:p>
    <w:p>
      <w:pPr>
        <w:tabs>
          <w:tab w:val="left" w:pos="3255"/>
        </w:tabs>
        <w:bidi w:val="0"/>
        <w:jc w:val="left"/>
      </w:pPr>
      <w:r>
        <w:drawing>
          <wp:inline distT="0" distB="0" distL="114300" distR="114300">
            <wp:extent cx="5751830" cy="3686810"/>
            <wp:effectExtent l="0" t="0" r="1270" b="8890"/>
            <wp:docPr id="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true"/>
                    </pic:cNvPicPr>
                  </pic:nvPicPr>
                  <pic:blipFill>
                    <a:blip r:embed="rId10"/>
                    <a:stretch>
                      <a:fillRect/>
                    </a:stretch>
                  </pic:blipFill>
                  <pic:spPr>
                    <a:xfrm>
                      <a:off x="0" y="0"/>
                      <a:ext cx="5751830" cy="3686810"/>
                    </a:xfrm>
                    <a:prstGeom prst="rect">
                      <a:avLst/>
                    </a:prstGeom>
                    <a:noFill/>
                    <a:ln>
                      <a:noFill/>
                    </a:ln>
                  </pic:spPr>
                </pic:pic>
              </a:graphicData>
            </a:graphic>
          </wp:inline>
        </w:drawing>
      </w:r>
    </w:p>
    <w:p>
      <w:pPr>
        <w:bidi w:val="0"/>
        <w:rPr>
          <w:rFonts w:hint="eastAsia" w:ascii="Times New Roman" w:hAnsi="Times New Roman"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485"/>
        </w:tabs>
        <w:bidi w:val="0"/>
        <w:jc w:val="left"/>
        <w:rPr>
          <w:rFonts w:hint="eastAsia"/>
          <w:lang w:val="en-US" w:eastAsia="zh-CN"/>
        </w:rPr>
      </w:pPr>
      <w:r>
        <w:rPr>
          <w:rFonts w:hint="eastAsia"/>
          <w:lang w:val="en-US" w:eastAsia="zh-CN"/>
        </w:rPr>
        <w:tab/>
      </w:r>
    </w:p>
    <w:p>
      <w:pPr>
        <w:tabs>
          <w:tab w:val="left" w:pos="1485"/>
        </w:tabs>
        <w:bidi w:val="0"/>
        <w:jc w:val="left"/>
        <w:rPr>
          <w:rFonts w:hint="eastAsia"/>
          <w:lang w:val="en-US" w:eastAsia="zh-CN"/>
        </w:rPr>
      </w:pPr>
    </w:p>
    <w:p>
      <w:pPr>
        <w:tabs>
          <w:tab w:val="left" w:pos="1485"/>
        </w:tabs>
        <w:bidi w:val="0"/>
        <w:jc w:val="left"/>
        <w:rPr>
          <w:rFonts w:hint="eastAsia"/>
          <w:lang w:val="en-US" w:eastAsia="zh-CN"/>
        </w:rPr>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r>
        <w:drawing>
          <wp:inline distT="0" distB="0" distL="114300" distR="114300">
            <wp:extent cx="5756275" cy="7169785"/>
            <wp:effectExtent l="0" t="0" r="9525" b="5715"/>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11"/>
                    <a:stretch>
                      <a:fillRect/>
                    </a:stretch>
                  </pic:blipFill>
                  <pic:spPr>
                    <a:xfrm>
                      <a:off x="0" y="0"/>
                      <a:ext cx="5756275" cy="7169785"/>
                    </a:xfrm>
                    <a:prstGeom prst="rect">
                      <a:avLst/>
                    </a:prstGeom>
                    <a:noFill/>
                    <a:ln>
                      <a:noFill/>
                    </a:ln>
                  </pic:spPr>
                </pic:pic>
              </a:graphicData>
            </a:graphic>
          </wp:inline>
        </w:drawing>
      </w:r>
    </w:p>
    <w:p>
      <w:pPr>
        <w:tabs>
          <w:tab w:val="left" w:pos="1485"/>
        </w:tabs>
        <w:bidi w:val="0"/>
        <w:jc w:val="left"/>
      </w:pPr>
      <w:r>
        <w:drawing>
          <wp:inline distT="0" distB="0" distL="114300" distR="114300">
            <wp:extent cx="5758815" cy="3813175"/>
            <wp:effectExtent l="0" t="0" r="6985" b="9525"/>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12"/>
                    <a:stretch>
                      <a:fillRect/>
                    </a:stretch>
                  </pic:blipFill>
                  <pic:spPr>
                    <a:xfrm>
                      <a:off x="0" y="0"/>
                      <a:ext cx="5758815" cy="3813175"/>
                    </a:xfrm>
                    <a:prstGeom prst="rect">
                      <a:avLst/>
                    </a:prstGeom>
                    <a:noFill/>
                    <a:ln>
                      <a:noFill/>
                    </a:ln>
                  </pic:spPr>
                </pic:pic>
              </a:graphicData>
            </a:graphic>
          </wp:inline>
        </w:drawing>
      </w: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r>
        <w:drawing>
          <wp:inline distT="0" distB="0" distL="114300" distR="114300">
            <wp:extent cx="5753735" cy="5327650"/>
            <wp:effectExtent l="0" t="0" r="12065" b="6350"/>
            <wp:docPr id="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true"/>
                    </pic:cNvPicPr>
                  </pic:nvPicPr>
                  <pic:blipFill>
                    <a:blip r:embed="rId13"/>
                    <a:stretch>
                      <a:fillRect/>
                    </a:stretch>
                  </pic:blipFill>
                  <pic:spPr>
                    <a:xfrm>
                      <a:off x="0" y="0"/>
                      <a:ext cx="5753735" cy="5327650"/>
                    </a:xfrm>
                    <a:prstGeom prst="rect">
                      <a:avLst/>
                    </a:prstGeom>
                    <a:noFill/>
                    <a:ln>
                      <a:noFill/>
                    </a:ln>
                  </pic:spPr>
                </pic:pic>
              </a:graphicData>
            </a:graphic>
          </wp:inline>
        </w:drawing>
      </w: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r>
        <w:drawing>
          <wp:inline distT="0" distB="0" distL="114300" distR="114300">
            <wp:extent cx="5756275" cy="3446145"/>
            <wp:effectExtent l="0" t="0" r="9525" b="8255"/>
            <wp:docPr id="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true"/>
                    </pic:cNvPicPr>
                  </pic:nvPicPr>
                  <pic:blipFill>
                    <a:blip r:embed="rId14"/>
                    <a:stretch>
                      <a:fillRect/>
                    </a:stretch>
                  </pic:blipFill>
                  <pic:spPr>
                    <a:xfrm>
                      <a:off x="0" y="0"/>
                      <a:ext cx="5756275" cy="3446145"/>
                    </a:xfrm>
                    <a:prstGeom prst="rect">
                      <a:avLst/>
                    </a:prstGeom>
                    <a:noFill/>
                    <a:ln>
                      <a:noFill/>
                    </a:ln>
                  </pic:spPr>
                </pic:pic>
              </a:graphicData>
            </a:graphic>
          </wp:inline>
        </w:drawing>
      </w: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r>
        <w:drawing>
          <wp:inline distT="0" distB="0" distL="114300" distR="114300">
            <wp:extent cx="5754370" cy="2740025"/>
            <wp:effectExtent l="0" t="0" r="11430" b="3175"/>
            <wp:docPr id="10"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true"/>
                    </pic:cNvPicPr>
                  </pic:nvPicPr>
                  <pic:blipFill>
                    <a:blip r:embed="rId15"/>
                    <a:stretch>
                      <a:fillRect/>
                    </a:stretch>
                  </pic:blipFill>
                  <pic:spPr>
                    <a:xfrm>
                      <a:off x="0" y="0"/>
                      <a:ext cx="5754370" cy="2740025"/>
                    </a:xfrm>
                    <a:prstGeom prst="rect">
                      <a:avLst/>
                    </a:prstGeom>
                    <a:noFill/>
                    <a:ln>
                      <a:noFill/>
                    </a:ln>
                  </pic:spPr>
                </pic:pic>
              </a:graphicData>
            </a:graphic>
          </wp:inline>
        </w:drawing>
      </w: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pPr>
    </w:p>
    <w:p>
      <w:pPr>
        <w:tabs>
          <w:tab w:val="left" w:pos="1485"/>
        </w:tabs>
        <w:bidi w:val="0"/>
        <w:jc w:val="left"/>
        <w:rPr>
          <w:rFonts w:hint="eastAsia"/>
          <w:lang w:val="en-US" w:eastAsia="zh-CN"/>
        </w:rPr>
      </w:pPr>
      <w:r>
        <w:drawing>
          <wp:inline distT="0" distB="0" distL="114300" distR="114300">
            <wp:extent cx="5758815" cy="3765550"/>
            <wp:effectExtent l="0" t="0" r="6985" b="6350"/>
            <wp:docPr id="1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true"/>
                    </pic:cNvPicPr>
                  </pic:nvPicPr>
                  <pic:blipFill>
                    <a:blip r:embed="rId16"/>
                    <a:stretch>
                      <a:fillRect/>
                    </a:stretch>
                  </pic:blipFill>
                  <pic:spPr>
                    <a:xfrm>
                      <a:off x="0" y="0"/>
                      <a:ext cx="5758815" cy="3765550"/>
                    </a:xfrm>
                    <a:prstGeom prst="rect">
                      <a:avLst/>
                    </a:prstGeom>
                    <a:noFill/>
                    <a:ln>
                      <a:noFill/>
                    </a:ln>
                  </pic:spPr>
                </pic:pic>
              </a:graphicData>
            </a:graphic>
          </wp:inline>
        </w:drawing>
      </w:r>
    </w:p>
    <w:sectPr>
      <w:pgSz w:w="11906" w:h="16838"/>
      <w:pgMar w:top="1701" w:right="1418" w:bottom="1701" w:left="1418"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Verdana">
    <w:altName w:val="Ubuntu"/>
    <w:panose1 w:val="020B0604030504040204"/>
    <w:charset w:val="00"/>
    <w:family w:val="swiss"/>
    <w:pitch w:val="default"/>
    <w:sig w:usb0="00000000" w:usb1="00000000"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Ubuntu">
    <w:panose1 w:val="020B0604030602030204"/>
    <w:charset w:val="00"/>
    <w:family w:val="auto"/>
    <w:pitch w:val="default"/>
    <w:sig w:usb0="E00002FF" w:usb1="5000205B" w:usb2="00000000" w:usb3="00000000" w:csb0="2000009F" w:csb1="56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margin" w:hAnchor="text" w:xAlign="center" w:yAlign="inline"/>
      <w:widowControl/>
      <w:snapToGrid w:val="0"/>
      <w:jc w:val="left"/>
      <w:textAlignment w:val="baseline"/>
      <w:rPr>
        <w:rStyle w:val="11"/>
        <w:kern w:val="2"/>
        <w:sz w:val="18"/>
        <w:szCs w:val="18"/>
        <w:lang w:val="en-US" w:eastAsia="zh-CN" w:bidi="ar-SA"/>
      </w:rPr>
    </w:pPr>
  </w:p>
  <w:p>
    <w:pPr>
      <w:pStyle w:val="2"/>
      <w:widowControl/>
      <w:snapToGrid w:val="0"/>
      <w:jc w:val="left"/>
      <w:textAlignment w:val="baseline"/>
      <w:rPr>
        <w:rStyle w:val="6"/>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margin" w:hAnchor="text" w:xAlign="center" w:yAlign="inline"/>
      <w:widowControl/>
      <w:snapToGrid w:val="0"/>
      <w:jc w:val="left"/>
      <w:textAlignment w:val="baseline"/>
      <w:rPr>
        <w:rStyle w:val="11"/>
        <w:kern w:val="2"/>
        <w:sz w:val="18"/>
        <w:szCs w:val="18"/>
        <w:lang w:val="en-US" w:eastAsia="zh-CN" w:bidi="ar-SA"/>
      </w:rPr>
    </w:pPr>
  </w:p>
  <w:p>
    <w:pPr>
      <w:pStyle w:val="2"/>
      <w:widowControl/>
      <w:snapToGrid w:val="0"/>
      <w:jc w:val="left"/>
      <w:textAlignment w:val="baseline"/>
      <w:rPr>
        <w:rStyle w:val="6"/>
        <w:kern w:val="2"/>
        <w:sz w:val="18"/>
        <w:szCs w:val="18"/>
        <w:lang w:val="en-US" w:eastAsia="zh-CN" w:bidi="ar-S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0B37B3"/>
    <w:multiLevelType w:val="multilevel"/>
    <w:tmpl w:val="730B37B3"/>
    <w:lvl w:ilvl="0" w:tentative="0">
      <w:start w:val="1"/>
      <w:numFmt w:val="japaneseCounting"/>
      <w:lvlText w:val="%1、"/>
      <w:lvlJc w:val="left"/>
      <w:pPr>
        <w:widowControl/>
        <w:tabs>
          <w:tab w:val="left" w:pos="720"/>
        </w:tabs>
        <w:ind w:left="720" w:hanging="720"/>
        <w:textAlignment w:val="baseline"/>
      </w:pPr>
      <w:rPr>
        <w:rStyle w:val="6"/>
      </w:rPr>
    </w:lvl>
    <w:lvl w:ilvl="1" w:tentative="0">
      <w:start w:val="2"/>
      <w:numFmt w:val="japaneseCounting"/>
      <w:lvlText w:val="%1、"/>
      <w:lvlJc w:val="left"/>
      <w:pPr>
        <w:widowControl/>
        <w:tabs>
          <w:tab w:val="left" w:pos="1140"/>
        </w:tabs>
        <w:ind w:left="1140" w:hanging="720"/>
        <w:textAlignment w:val="baseline"/>
      </w:pPr>
      <w:rPr>
        <w:rStyle w:val="6"/>
      </w:rPr>
    </w:lvl>
    <w:lvl w:ilvl="2" w:tentative="0">
      <w:start w:val="1"/>
      <w:numFmt w:val="lowerRoman"/>
      <w:lvlText w:val="%1."/>
      <w:lvlJc w:val="right"/>
      <w:pPr>
        <w:widowControl/>
        <w:tabs>
          <w:tab w:val="left" w:pos="1260"/>
        </w:tabs>
        <w:ind w:left="1260" w:hanging="420"/>
        <w:textAlignment w:val="baseline"/>
      </w:pPr>
      <w:rPr>
        <w:rStyle w:val="6"/>
      </w:rPr>
    </w:lvl>
    <w:lvl w:ilvl="3" w:tentative="0">
      <w:start w:val="1"/>
      <w:numFmt w:val="decimal"/>
      <w:lvlText w:val="%1."/>
      <w:lvlJc w:val="left"/>
      <w:pPr>
        <w:widowControl/>
        <w:tabs>
          <w:tab w:val="left" w:pos="1680"/>
        </w:tabs>
        <w:ind w:left="1680" w:hanging="420"/>
        <w:textAlignment w:val="baseline"/>
      </w:pPr>
      <w:rPr>
        <w:rStyle w:val="6"/>
      </w:rPr>
    </w:lvl>
    <w:lvl w:ilvl="4" w:tentative="0">
      <w:start w:val="1"/>
      <w:numFmt w:val="lowerLetter"/>
      <w:lvlText w:val="%1)"/>
      <w:lvlJc w:val="left"/>
      <w:pPr>
        <w:widowControl/>
        <w:tabs>
          <w:tab w:val="left" w:pos="2100"/>
        </w:tabs>
        <w:ind w:left="2100" w:hanging="420"/>
        <w:textAlignment w:val="baseline"/>
      </w:pPr>
      <w:rPr>
        <w:rStyle w:val="6"/>
      </w:rPr>
    </w:lvl>
    <w:lvl w:ilvl="5" w:tentative="0">
      <w:start w:val="1"/>
      <w:numFmt w:val="lowerRoman"/>
      <w:lvlText w:val="%1."/>
      <w:lvlJc w:val="right"/>
      <w:pPr>
        <w:widowControl/>
        <w:tabs>
          <w:tab w:val="left" w:pos="2520"/>
        </w:tabs>
        <w:ind w:left="2520" w:hanging="420"/>
        <w:textAlignment w:val="baseline"/>
      </w:pPr>
      <w:rPr>
        <w:rStyle w:val="6"/>
      </w:rPr>
    </w:lvl>
    <w:lvl w:ilvl="6" w:tentative="0">
      <w:start w:val="1"/>
      <w:numFmt w:val="decimal"/>
      <w:lvlText w:val="%1."/>
      <w:lvlJc w:val="left"/>
      <w:pPr>
        <w:widowControl/>
        <w:tabs>
          <w:tab w:val="left" w:pos="2940"/>
        </w:tabs>
        <w:ind w:left="2940" w:hanging="420"/>
        <w:textAlignment w:val="baseline"/>
      </w:pPr>
      <w:rPr>
        <w:rStyle w:val="6"/>
      </w:rPr>
    </w:lvl>
    <w:lvl w:ilvl="7" w:tentative="0">
      <w:start w:val="1"/>
      <w:numFmt w:val="lowerLetter"/>
      <w:lvlText w:val="%1)"/>
      <w:lvlJc w:val="left"/>
      <w:pPr>
        <w:widowControl/>
        <w:tabs>
          <w:tab w:val="left" w:pos="3360"/>
        </w:tabs>
        <w:ind w:left="3360" w:hanging="420"/>
        <w:textAlignment w:val="baseline"/>
      </w:pPr>
      <w:rPr>
        <w:rStyle w:val="6"/>
      </w:rPr>
    </w:lvl>
    <w:lvl w:ilvl="8" w:tentative="0">
      <w:start w:val="1"/>
      <w:numFmt w:val="lowerRoman"/>
      <w:lvlText w:val="%1."/>
      <w:lvlJc w:val="right"/>
      <w:pPr>
        <w:widowControl/>
        <w:tabs>
          <w:tab w:val="left" w:pos="3780"/>
        </w:tabs>
        <w:ind w:left="3780" w:hanging="420"/>
        <w:textAlignment w:val="baseline"/>
      </w:pPr>
      <w:rPr>
        <w:rStyle w:val="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dit="trackedChanges" w:enforcement="0"/>
  <w:defaultTabStop w:val="420"/>
  <w:displayHorizontalDrawingGridEvery w:val="1"/>
  <w:displayVerticalDrawingGridEvery w:val="1"/>
  <w:doNotUseMarginsForDrawingGridOrigin w:val="true"/>
  <w:drawingGridHorizontalOrigin w:val="1800"/>
  <w:drawingGridVerticalOrigin w:val="1440"/>
  <w:noPunctuationKerning w:val="true"/>
  <w:compat>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docVars>
    <w:docVar w:name="commondata" w:val="eyJoZGlkIjoiMGU5ZDIwYmNlNDhhNjgzNGI5NDRlMjZiNjc4ZTAxYjMifQ=="/>
  </w:docVars>
  <w:rsids>
    <w:rsidRoot w:val="00000000"/>
    <w:rsid w:val="015A664E"/>
    <w:rsid w:val="03A83D63"/>
    <w:rsid w:val="0EAC0AC2"/>
    <w:rsid w:val="145B7552"/>
    <w:rsid w:val="202A22FB"/>
    <w:rsid w:val="202F5EEE"/>
    <w:rsid w:val="24A81639"/>
    <w:rsid w:val="2C86170D"/>
    <w:rsid w:val="2EBF6215"/>
    <w:rsid w:val="31536208"/>
    <w:rsid w:val="3DB6DC9C"/>
    <w:rsid w:val="3E694A0F"/>
    <w:rsid w:val="48B9316C"/>
    <w:rsid w:val="4D5636C2"/>
    <w:rsid w:val="56425802"/>
    <w:rsid w:val="5D2D4044"/>
    <w:rsid w:val="609B0F85"/>
    <w:rsid w:val="666C6CF4"/>
    <w:rsid w:val="67087289"/>
    <w:rsid w:val="6A0E355F"/>
    <w:rsid w:val="70B068F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3"/>
    <w:qFormat/>
    <w:uiPriority w:val="0"/>
    <w:pPr>
      <w:jc w:val="both"/>
      <w:textAlignment w:val="baseline"/>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textAlignment w:val="baseline"/>
    </w:pPr>
    <w:rPr>
      <w:kern w:val="2"/>
      <w:sz w:val="18"/>
      <w:szCs w:val="18"/>
      <w:lang w:val="en-US" w:eastAsia="zh-CN" w:bidi="ar-SA"/>
    </w:rPr>
  </w:style>
  <w:style w:type="paragraph" w:styleId="3">
    <w:name w:val="header"/>
    <w:basedOn w:val="1"/>
    <w:link w:val="10"/>
    <w:qFormat/>
    <w:uiPriority w:val="0"/>
    <w:pPr>
      <w:pBdr>
        <w:bottom w:val="single" w:color="000000" w:sz="6" w:space="1"/>
      </w:pBdr>
      <w:tabs>
        <w:tab w:val="center" w:pos="4153"/>
        <w:tab w:val="right" w:pos="8306"/>
      </w:tabs>
      <w:snapToGrid w:val="0"/>
      <w:jc w:val="center"/>
      <w:textAlignment w:val="baseline"/>
    </w:pPr>
    <w:rPr>
      <w:kern w:val="2"/>
      <w:sz w:val="18"/>
      <w:szCs w:val="18"/>
      <w:lang w:val="en-US" w:eastAsia="zh-CN" w:bidi="ar-SA"/>
    </w:rPr>
  </w:style>
  <w:style w:type="character" w:customStyle="1" w:styleId="6">
    <w:name w:val="NormalCharacter"/>
    <w:link w:val="1"/>
    <w:semiHidden/>
    <w:qFormat/>
    <w:uiPriority w:val="0"/>
  </w:style>
  <w:style w:type="table" w:customStyle="1" w:styleId="7">
    <w:name w:val="TableNormal"/>
    <w:semiHidden/>
    <w:qFormat/>
    <w:uiPriority w:val="0"/>
  </w:style>
  <w:style w:type="paragraph" w:customStyle="1" w:styleId="8">
    <w:name w:val="Acetate"/>
    <w:basedOn w:val="1"/>
    <w:link w:val="9"/>
    <w:qFormat/>
    <w:uiPriority w:val="0"/>
    <w:pPr>
      <w:jc w:val="both"/>
      <w:textAlignment w:val="baseline"/>
    </w:pPr>
    <w:rPr>
      <w:kern w:val="2"/>
      <w:sz w:val="18"/>
      <w:szCs w:val="18"/>
      <w:lang w:val="en-US" w:eastAsia="zh-CN" w:bidi="ar-SA"/>
    </w:rPr>
  </w:style>
  <w:style w:type="character" w:customStyle="1" w:styleId="9">
    <w:name w:val="UserStyle_0"/>
    <w:link w:val="8"/>
    <w:qFormat/>
    <w:uiPriority w:val="0"/>
    <w:rPr>
      <w:kern w:val="2"/>
      <w:sz w:val="18"/>
      <w:szCs w:val="18"/>
    </w:rPr>
  </w:style>
  <w:style w:type="character" w:customStyle="1" w:styleId="10">
    <w:name w:val="UserStyle_1"/>
    <w:link w:val="3"/>
    <w:qFormat/>
    <w:uiPriority w:val="0"/>
    <w:rPr>
      <w:kern w:val="2"/>
      <w:sz w:val="18"/>
      <w:szCs w:val="18"/>
    </w:rPr>
  </w:style>
  <w:style w:type="character" w:customStyle="1" w:styleId="11">
    <w:name w:val="PageNumber"/>
    <w:basedOn w:val="6"/>
    <w:link w:val="1"/>
    <w:qFormat/>
    <w:uiPriority w:val="0"/>
  </w:style>
  <w:style w:type="paragraph" w:customStyle="1" w:styleId="12">
    <w:name w:val="UserStyle_2"/>
    <w:basedOn w:val="1"/>
    <w:qFormat/>
    <w:uiPriority w:val="0"/>
    <w:pPr>
      <w:widowControl/>
      <w:jc w:val="left"/>
      <w:textAlignment w:val="baseline"/>
    </w:pPr>
    <w:rPr>
      <w:rFonts w:ascii="Verdana" w:hAnsi="Verdana" w:eastAsia="仿宋_GB2312"/>
      <w:kern w:val="0"/>
      <w:sz w:val="28"/>
      <w:szCs w:val="20"/>
      <w:lang w:val="en-US" w:eastAsia="en-US" w:bidi="ar-SA"/>
    </w:rPr>
  </w:style>
  <w:style w:type="character" w:customStyle="1" w:styleId="13">
    <w:name w:val="UserStyle_3"/>
    <w:basedOn w:val="6"/>
    <w:link w:val="1"/>
    <w:qFormat/>
    <w:uiPriority w:val="0"/>
    <w:rPr>
      <w:rFonts w:ascii="宋体" w:hAnsi="宋体" w:eastAsia="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Pages>
  <Words>4476</Words>
  <Characters>4777</Characters>
  <TotalTime>2</TotalTime>
  <ScaleCrop>false</ScaleCrop>
  <LinksUpToDate>false</LinksUpToDate>
  <CharactersWithSpaces>4827</CharactersWithSpaces>
  <Application>WPS Office_11.8.2.10458_F1E327BC-269C-435d-A152-05C5408002CA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2022-09-19T14:25:00Z</dcterms:created>
  <dc:creator>pc</dc:creator>
  <cp:lastModifiedBy>user</cp:lastModifiedBy>
  <dcterms:modified xsi:type="dcterms:W3CDTF">2023-08-02T09:08:29Z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D024AA8C8EDB408C88F52E4C07606C49</vt:lpwstr>
  </property>
</Properties>
</file>