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b/>
          <w:sz w:val="36"/>
        </w:rPr>
      </w:pPr>
      <w:bookmarkStart w:id="0" w:name="_GoBack"/>
      <w:bookmarkEnd w:id="0"/>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360" w:lineRule="auto"/>
        <w:jc w:val="center"/>
        <w:rPr>
          <w:rFonts w:ascii="宋体" w:hAnsi="宋体"/>
          <w:b/>
          <w:sz w:val="52"/>
        </w:rPr>
      </w:pPr>
      <w:r>
        <w:rPr>
          <w:rFonts w:hint="eastAsia" w:ascii="宋体" w:hAnsi="宋体"/>
          <w:b/>
          <w:sz w:val="52"/>
        </w:rPr>
        <w:t>本溪市明山区发展和改革局2018年度</w:t>
      </w:r>
    </w:p>
    <w:p>
      <w:pPr>
        <w:spacing w:line="360" w:lineRule="auto"/>
        <w:jc w:val="center"/>
        <w:rPr>
          <w:rFonts w:eastAsia="Times New Roman"/>
          <w:b/>
          <w:sz w:val="52"/>
        </w:rPr>
      </w:pPr>
      <w:r>
        <w:rPr>
          <w:rFonts w:hint="eastAsia" w:ascii="宋体" w:hAnsi="宋体"/>
          <w:b/>
          <w:sz w:val="52"/>
        </w:rPr>
        <w:t>部门决算公开文本</w:t>
      </w:r>
    </w:p>
    <w:p>
      <w:pPr>
        <w:spacing w:line="360" w:lineRule="auto"/>
        <w:jc w:val="center"/>
        <w:rPr>
          <w:rFonts w:eastAsia="Times New Roman"/>
          <w:b/>
          <w:sz w:val="44"/>
          <w:u w:val="single"/>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240" w:lineRule="atLeast"/>
        <w:jc w:val="center"/>
        <w:rPr>
          <w:rFonts w:ascii="宋体" w:hAnsi="宋体"/>
          <w:b/>
          <w:sz w:val="36"/>
        </w:rPr>
      </w:pPr>
    </w:p>
    <w:p>
      <w:pPr>
        <w:spacing w:line="360" w:lineRule="auto"/>
        <w:jc w:val="center"/>
        <w:rPr>
          <w:rFonts w:eastAsiaTheme="minorEastAsia"/>
          <w:b/>
          <w:sz w:val="44"/>
        </w:rPr>
      </w:pPr>
      <w:r>
        <w:rPr>
          <w:rFonts w:hint="eastAsia" w:ascii="宋体" w:hAnsi="宋体"/>
          <w:b/>
          <w:sz w:val="44"/>
        </w:rPr>
        <w:t>目    录</w:t>
      </w:r>
    </w:p>
    <w:p>
      <w:pPr>
        <w:spacing w:line="360" w:lineRule="auto"/>
        <w:rPr>
          <w:rFonts w:eastAsia="Times New Roman"/>
          <w:sz w:val="32"/>
        </w:rPr>
      </w:pPr>
      <w:r>
        <w:rPr>
          <w:rFonts w:hint="eastAsia" w:ascii="黑体" w:hAnsi="黑体" w:eastAsia="黑体"/>
          <w:sz w:val="32"/>
        </w:rPr>
        <w:t>第一部分   本溪市明山区发展和改革局概况</w:t>
      </w:r>
    </w:p>
    <w:p>
      <w:pPr>
        <w:spacing w:line="360" w:lineRule="auto"/>
        <w:ind w:left="720" w:hanging="720"/>
        <w:rPr>
          <w:rFonts w:eastAsia="Times New Roman"/>
          <w:sz w:val="32"/>
        </w:rPr>
      </w:pPr>
      <w:r>
        <w:rPr>
          <w:rFonts w:hint="eastAsia" w:ascii="宋体" w:hAnsi="宋体"/>
        </w:rPr>
        <w:t>一、</w:t>
      </w:r>
      <w:r>
        <w:rPr>
          <w:rFonts w:eastAsia="Times New Roman"/>
        </w:rPr>
        <w:tab/>
      </w:r>
      <w:r>
        <w:rPr>
          <w:rFonts w:hint="eastAsia" w:ascii="仿宋_GB2312" w:hAnsi="仿宋_GB2312" w:eastAsia="仿宋_GB2312"/>
          <w:sz w:val="32"/>
        </w:rPr>
        <w:t>主要职责</w:t>
      </w:r>
    </w:p>
    <w:p>
      <w:pPr>
        <w:spacing w:line="360" w:lineRule="auto"/>
        <w:ind w:left="720" w:hanging="720"/>
        <w:rPr>
          <w:rFonts w:eastAsia="Times New Roman"/>
          <w:sz w:val="32"/>
        </w:rPr>
      </w:pPr>
      <w:r>
        <w:rPr>
          <w:rFonts w:hint="eastAsia" w:ascii="宋体" w:hAnsi="宋体"/>
        </w:rPr>
        <w:t>二、</w:t>
      </w:r>
      <w:r>
        <w:rPr>
          <w:rFonts w:eastAsia="Times New Roman"/>
        </w:rPr>
        <w:tab/>
      </w:r>
      <w:r>
        <w:rPr>
          <w:rFonts w:hint="eastAsia" w:ascii="仿宋_GB2312" w:hAnsi="仿宋_GB2312" w:eastAsia="仿宋_GB2312"/>
          <w:sz w:val="32"/>
        </w:rPr>
        <w:t>部门决算单位构成</w:t>
      </w:r>
    </w:p>
    <w:p>
      <w:pPr>
        <w:spacing w:line="360" w:lineRule="auto"/>
        <w:rPr>
          <w:rFonts w:eastAsia="Times New Roman"/>
          <w:sz w:val="32"/>
        </w:rPr>
      </w:pPr>
      <w:r>
        <w:rPr>
          <w:rFonts w:hint="eastAsia" w:ascii="黑体" w:hAnsi="黑体" w:eastAsia="黑体"/>
          <w:sz w:val="32"/>
        </w:rPr>
        <w:t>第二部分   本溪市明山区发展和改革局2018年度部门决算报表</w:t>
      </w:r>
    </w:p>
    <w:p>
      <w:pPr>
        <w:spacing w:line="360" w:lineRule="auto"/>
        <w:rPr>
          <w:rFonts w:eastAsia="Times New Roman"/>
          <w:sz w:val="32"/>
        </w:rPr>
      </w:pPr>
      <w:r>
        <w:rPr>
          <w:rFonts w:hint="eastAsia" w:ascii="仿宋_GB2312" w:hAnsi="仿宋_GB2312" w:eastAsia="仿宋_GB2312"/>
          <w:sz w:val="32"/>
        </w:rPr>
        <w:t>一、2018年度收入支出决算总表</w:t>
      </w:r>
    </w:p>
    <w:p>
      <w:pPr>
        <w:spacing w:line="360" w:lineRule="auto"/>
        <w:rPr>
          <w:rFonts w:eastAsia="Times New Roman"/>
          <w:sz w:val="32"/>
        </w:rPr>
      </w:pPr>
      <w:r>
        <w:rPr>
          <w:rFonts w:hint="eastAsia" w:ascii="仿宋_GB2312" w:hAnsi="仿宋_GB2312" w:eastAsia="仿宋_GB2312"/>
          <w:sz w:val="32"/>
        </w:rPr>
        <w:t>二、2018年度收入决算表</w:t>
      </w:r>
    </w:p>
    <w:p>
      <w:pPr>
        <w:spacing w:line="360" w:lineRule="auto"/>
        <w:rPr>
          <w:rFonts w:eastAsia="Times New Roman"/>
          <w:sz w:val="32"/>
        </w:rPr>
      </w:pPr>
      <w:r>
        <w:rPr>
          <w:rFonts w:hint="eastAsia" w:ascii="仿宋_GB2312" w:hAnsi="仿宋_GB2312" w:eastAsia="仿宋_GB2312"/>
          <w:sz w:val="32"/>
        </w:rPr>
        <w:t>三、2018年度支出决算表</w:t>
      </w:r>
    </w:p>
    <w:p>
      <w:pPr>
        <w:spacing w:line="360" w:lineRule="auto"/>
        <w:rPr>
          <w:rFonts w:eastAsia="Times New Roman"/>
          <w:sz w:val="32"/>
        </w:rPr>
      </w:pPr>
      <w:r>
        <w:rPr>
          <w:rFonts w:hint="eastAsia" w:ascii="仿宋_GB2312" w:hAnsi="仿宋_GB2312" w:eastAsia="仿宋_GB2312"/>
          <w:sz w:val="32"/>
        </w:rPr>
        <w:t>四、2018年度财政拨款收入支出决算表</w:t>
      </w:r>
    </w:p>
    <w:p>
      <w:pPr>
        <w:spacing w:line="360" w:lineRule="auto"/>
        <w:rPr>
          <w:rFonts w:eastAsia="Times New Roman"/>
          <w:sz w:val="32"/>
        </w:rPr>
      </w:pPr>
      <w:r>
        <w:rPr>
          <w:rFonts w:hint="eastAsia" w:ascii="仿宋_GB2312" w:hAnsi="仿宋_GB2312" w:eastAsia="仿宋_GB2312"/>
          <w:sz w:val="32"/>
        </w:rPr>
        <w:t>五、2018年度一般公共预算财政拨款收入支出决算表</w:t>
      </w:r>
    </w:p>
    <w:p>
      <w:pPr>
        <w:spacing w:line="360" w:lineRule="auto"/>
        <w:rPr>
          <w:rFonts w:eastAsia="Times New Roman"/>
          <w:sz w:val="32"/>
        </w:rPr>
      </w:pPr>
      <w:r>
        <w:rPr>
          <w:rFonts w:hint="eastAsia" w:ascii="仿宋_GB2312" w:hAnsi="仿宋_GB2312" w:eastAsia="仿宋_GB2312"/>
          <w:sz w:val="32"/>
        </w:rPr>
        <w:t>六、2018年度一般公共预算财政拨款基本支出决算表</w:t>
      </w:r>
    </w:p>
    <w:p>
      <w:pPr>
        <w:spacing w:line="360" w:lineRule="auto"/>
        <w:rPr>
          <w:rFonts w:eastAsia="Times New Roman"/>
          <w:sz w:val="32"/>
        </w:rPr>
      </w:pPr>
      <w:r>
        <w:rPr>
          <w:rFonts w:hint="eastAsia" w:ascii="仿宋_GB2312" w:hAnsi="仿宋_GB2312" w:eastAsia="仿宋_GB2312"/>
          <w:sz w:val="32"/>
        </w:rPr>
        <w:t>七、2018年度政府性基金预算财政拨款收入支出决算表</w:t>
      </w:r>
    </w:p>
    <w:p>
      <w:pPr>
        <w:spacing w:line="360" w:lineRule="auto"/>
        <w:rPr>
          <w:rFonts w:eastAsia="Times New Roman"/>
          <w:sz w:val="32"/>
        </w:rPr>
      </w:pPr>
      <w:r>
        <w:rPr>
          <w:rFonts w:hint="eastAsia" w:ascii="仿宋_GB2312" w:hAnsi="仿宋_GB2312" w:eastAsia="仿宋_GB2312"/>
          <w:sz w:val="32"/>
        </w:rPr>
        <w:t>八、2018年度财政专户管理资金收入支出决算表</w:t>
      </w:r>
    </w:p>
    <w:p>
      <w:pPr>
        <w:spacing w:line="360" w:lineRule="auto"/>
        <w:ind w:left="640" w:hanging="640"/>
        <w:rPr>
          <w:rFonts w:eastAsia="Times New Roman"/>
          <w:sz w:val="32"/>
        </w:rPr>
      </w:pPr>
      <w:r>
        <w:rPr>
          <w:rFonts w:hint="eastAsia" w:ascii="仿宋_GB2312" w:hAnsi="仿宋_GB2312" w:eastAsia="仿宋_GB2312"/>
          <w:sz w:val="32"/>
        </w:rPr>
        <w:t>九、2018年度一般公共预算财政拨款</w:t>
      </w:r>
      <w:r>
        <w:rPr>
          <w:rFonts w:eastAsia="Times New Roman"/>
          <w:sz w:val="32"/>
        </w:rPr>
        <w:t>“</w:t>
      </w:r>
      <w:r>
        <w:rPr>
          <w:rFonts w:hint="eastAsia" w:ascii="仿宋_GB2312" w:hAnsi="仿宋_GB2312" w:eastAsia="仿宋_GB2312"/>
          <w:sz w:val="32"/>
        </w:rPr>
        <w:t>三公</w:t>
      </w:r>
      <w:r>
        <w:rPr>
          <w:rFonts w:eastAsia="Times New Roman"/>
          <w:sz w:val="32"/>
        </w:rPr>
        <w:t>”</w:t>
      </w:r>
      <w:r>
        <w:rPr>
          <w:rFonts w:hint="eastAsia" w:ascii="仿宋_GB2312" w:hAnsi="仿宋_GB2312" w:eastAsia="仿宋_GB2312"/>
          <w:sz w:val="32"/>
        </w:rPr>
        <w:t>经费支出决算表</w:t>
      </w:r>
    </w:p>
    <w:p>
      <w:pPr>
        <w:spacing w:line="360" w:lineRule="auto"/>
        <w:rPr>
          <w:rFonts w:eastAsia="Times New Roman"/>
          <w:sz w:val="32"/>
        </w:rPr>
      </w:pPr>
      <w:r>
        <w:rPr>
          <w:rFonts w:hint="eastAsia" w:ascii="黑体" w:hAnsi="黑体" w:eastAsia="黑体"/>
          <w:sz w:val="32"/>
        </w:rPr>
        <w:t>第三部分   本溪市明山区发展和改革局2018年度部门决算情况说明</w:t>
      </w:r>
    </w:p>
    <w:p>
      <w:pPr>
        <w:spacing w:line="360" w:lineRule="auto"/>
        <w:rPr>
          <w:rFonts w:eastAsia="Times New Roman"/>
          <w:sz w:val="32"/>
        </w:rPr>
      </w:pPr>
      <w:r>
        <w:rPr>
          <w:rFonts w:hint="eastAsia" w:ascii="黑体" w:hAnsi="黑体" w:eastAsia="黑体"/>
          <w:sz w:val="32"/>
        </w:rPr>
        <w:t>第四部分   名词解释</w:t>
      </w:r>
    </w:p>
    <w:p>
      <w:pPr>
        <w:spacing w:line="360" w:lineRule="auto"/>
        <w:jc w:val="center"/>
        <w:rPr>
          <w:rFonts w:eastAsia="Times New Roman"/>
          <w:b/>
          <w:sz w:val="44"/>
          <w:u w:val="single"/>
        </w:rPr>
      </w:pPr>
    </w:p>
    <w:p>
      <w:pPr>
        <w:spacing w:line="360" w:lineRule="auto"/>
        <w:jc w:val="center"/>
        <w:rPr>
          <w:rFonts w:eastAsia="Times New Roman"/>
          <w:b/>
          <w:sz w:val="36"/>
        </w:rPr>
      </w:pPr>
      <w:r>
        <w:rPr>
          <w:rFonts w:hint="eastAsia" w:ascii="宋体" w:hAnsi="宋体"/>
          <w:b/>
          <w:sz w:val="36"/>
        </w:rPr>
        <w:t>第一部分 本溪市明山区发展和改革局概况</w:t>
      </w:r>
    </w:p>
    <w:p>
      <w:pPr>
        <w:spacing w:line="360" w:lineRule="auto"/>
        <w:ind w:firstLine="640"/>
        <w:rPr>
          <w:rFonts w:ascii="黑体" w:hAnsi="黑体" w:eastAsia="黑体"/>
          <w:sz w:val="32"/>
        </w:rPr>
      </w:pPr>
    </w:p>
    <w:p>
      <w:pPr>
        <w:pStyle w:val="8"/>
        <w:numPr>
          <w:ilvl w:val="0"/>
          <w:numId w:val="1"/>
        </w:numPr>
        <w:spacing w:line="360" w:lineRule="auto"/>
        <w:ind w:firstLineChars="0"/>
        <w:rPr>
          <w:rFonts w:ascii="黑体" w:hAnsi="黑体" w:eastAsia="黑体"/>
          <w:sz w:val="32"/>
        </w:rPr>
      </w:pPr>
      <w:r>
        <w:rPr>
          <w:rFonts w:hint="eastAsia" w:ascii="黑体" w:hAnsi="黑体" w:eastAsia="黑体"/>
          <w:sz w:val="32"/>
        </w:rPr>
        <w:t>主要职责</w:t>
      </w:r>
    </w:p>
    <w:p>
      <w:pPr>
        <w:widowControl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 xml:space="preserve"> (一)拟订并组织实施全区国民经济和社会发展战略、中长期规划和年度计划,统筹协调全区经济社会发展总体规划和专项规划,衔接需要安排区政府投资和涉及重大项目的规划,建立健全科学制定、有效实施、及时评估和动态调整全区发展战略规划的制度机制。</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(二)按规定指导、协调全区招投标工作 。</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统筹协调全区经济社会发展,研判经济发展趋势,提出国民经济发展和优化重大经济结构的目标、政策,提出综合运用各种经济手段和政策的建议,受区政府委托向区人大提交全区国民经济和社会发展计划的报告,综合协调全区宏观经济政策,会同相关部门完善宏观调控协调机制,推进宏观调控目标制定和政策手段运用机制化。</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大政策。</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参与全区制定财政政策、金融发展对策、土地政策和价格政策,综合分析财政、金融、土地、价格政策的执行效果。会同有关部门负责全口径外债的总量控制、结构优化和监测工作。负责全区社会信用体系建设和综合管理工作,推进社会信用体系建设。</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(六)承担指导推进和综合协调全区经济体制改革的责任,研究经济体制改革的重大问题,组织拟订综合性经济体制改革方案,会同有关部门搞好重要专项经济体制改革之间的衔接,指导经济体制改革试点工作。</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承担全区固定资产投资综合管理职责,拟订全社会定资产投资总规模和投资结构的调控目标、政策和措施。按权限审批,核准跨行业、跨领城和涉及综合平衡。重大布局的重大建设项目。审批、核准、备案重大外资项目和境外投资项目,参与外商投资安全审查有关工作,指导和监督国外贷款建设资金的使用,引导民间投资的方向,指导相关企业参与矿产能源、资源等领域重大项目的国际合作。牵头组织特重大自然灾害的灾后恢复重建规划编制,协调有关重大问题。指导工程咨询业发展。</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推进全区经济结构战略性调整,组织拟订全区综合性产业政策,负责协调全区一、二、三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负责统筹推进全区城乡区域协调发展,推进落实区域发展总体战略,组织拟订全区区域协调发展及资源枯竭城市经济转型、老工业基地振兴、沈阳经济区发展(沈本一体化发展)的战略、规划和重大政策,负责全区地区经济协作的统筹协调。负责协调推进全区“一带一路”建设工作。</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(十)研究分析国内外和省、市内外市场状况,负责重要商品总量平衡和宏观调控的相关工作,参与编制全区重要农产品、工业品和原材料进出口总量计划。</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一)负责全区社会发展与国民经济发展的政策衔接,参与拟订人口发展规划,参与拟订科学技术、教育、文化、卫生健康、民政等发展规划,推进社会事业建设,统筹推进全区基本公共服务体系建设,协调社会事业发展和改革中的重大问题及政策。</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二)负责提出全区能源消费总量控制目标的建议,落实能源消费总量控制工作方案,按权限实施对能源项目和计划的管理,负责能源运行调节和应急保障工作,配合煤炭行业管理部门研究提出全区煤炭行业发展规划,负责全区长输油气管道的保护工作,统筹协调管道保护的重大问题。</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三)推进全区可持续发展战略,负责节能综合协调工作、组织拟订全区发展循环经济、全社会能源资源节约和综合利用规划及政策措施并协调实施,参与编制全区生态建设、环境保护规划,协调生态建设、能源资源节约和综合利用的</w:t>
      </w:r>
      <w:r>
        <w:rPr>
          <w:rFonts w:hint="eastAsia" w:ascii="仿宋" w:hAnsi="仿宋" w:eastAsia="仿宋" w:cs="仿宋"/>
          <w:sz w:val="32"/>
          <w:szCs w:val="32"/>
          <w:lang w:eastAsia="zh-CN"/>
        </w:rPr>
        <w:t>重大问题</w:t>
      </w:r>
      <w:r>
        <w:rPr>
          <w:rFonts w:hint="eastAsia" w:ascii="仿宋" w:hAnsi="仿宋" w:eastAsia="仿宋" w:cs="仿宋"/>
          <w:sz w:val="32"/>
          <w:szCs w:val="32"/>
        </w:rPr>
        <w:t>,研究提出建立健全生态补偿机制的政策措施,综合协调环保产业和清洁生产促进有关工作。</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(十四)研究全区国民经济与国防建设的关系,组织编制国民经济动员规划、计划,统筹推进经济建设与国防建设协调发展战略和规划,协调相关重大问题。</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(十五)配合有关部门做好招商引资工作,参与重大招商引资活动,负责招商引资项目的跟踪落实和相关指导、协调服务工作。</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(十六)优化金融发展环境,推动全区金融机构和金融业规范健康发展,防范金融风险。</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(十七)参与制定促进全区服务业发展的政策措施,参与研究提出服务业对外开放的政策措施,协调服务业发展中的重大问题。</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(十八)组织对农产品价格的成本调查和监审。</w:t>
      </w:r>
    </w:p>
    <w:p>
      <w:pPr>
        <w:widowControl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(十九)完成区委、区政府交办的其他任务。</w:t>
      </w:r>
    </w:p>
    <w:p>
      <w:pPr>
        <w:spacing w:line="360" w:lineRule="auto"/>
        <w:ind w:firstLine="640" w:firstLineChars="200"/>
        <w:rPr>
          <w:rFonts w:ascii="仿宋_GB2312" w:eastAsia="仿宋_GB2312"/>
          <w:sz w:val="32"/>
          <w:szCs w:val="32"/>
        </w:rPr>
      </w:pPr>
      <w:r>
        <w:rPr>
          <w:rFonts w:hint="eastAsia" w:ascii="黑体" w:eastAsia="黑体"/>
          <w:sz w:val="32"/>
          <w:szCs w:val="32"/>
        </w:rPr>
        <w:t>二、部门预算单位构成</w:t>
      </w:r>
    </w:p>
    <w:p>
      <w:pPr>
        <w:widowControl w:val="0"/>
        <w:spacing w:line="360" w:lineRule="auto"/>
        <w:ind w:firstLine="640" w:firstLineChars="200"/>
        <w:rPr>
          <w:rFonts w:ascii="仿宋" w:hAnsi="仿宋" w:eastAsia="仿宋" w:cs="仿宋"/>
          <w:sz w:val="32"/>
          <w:szCs w:val="32"/>
        </w:rPr>
      </w:pPr>
      <w:r>
        <w:rPr>
          <w:rFonts w:hint="eastAsia" w:ascii="仿宋_GB2312" w:hAnsi="宋体" w:eastAsia="仿宋_GB2312" w:cs="宋体"/>
          <w:sz w:val="32"/>
          <w:szCs w:val="32"/>
        </w:rPr>
        <w:t>设立明山区发展和改革局（正科级），并挂明山区金融发展局牌子，为区政府工作部门。</w:t>
      </w:r>
    </w:p>
    <w:p>
      <w:pPr>
        <w:spacing w:line="360" w:lineRule="auto"/>
        <w:ind w:firstLine="640"/>
        <w:rPr>
          <w:rFonts w:eastAsia="Times New Roman"/>
          <w:sz w:val="32"/>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p>
    <w:p>
      <w:pPr>
        <w:spacing w:line="240" w:lineRule="atLeast"/>
        <w:ind w:firstLine="903" w:firstLineChars="250"/>
        <w:rPr>
          <w:rFonts w:ascii="宋体" w:hAnsi="宋体"/>
          <w:b/>
          <w:sz w:val="36"/>
        </w:rPr>
      </w:pPr>
      <w:r>
        <w:rPr>
          <w:rFonts w:hint="eastAsia" w:ascii="宋体" w:hAnsi="宋体"/>
          <w:b/>
          <w:sz w:val="36"/>
        </w:rPr>
        <w:t>第二部分 本溪市明山区发展改革局2018年度部门</w:t>
      </w:r>
    </w:p>
    <w:p>
      <w:pPr>
        <w:spacing w:line="240" w:lineRule="atLeast"/>
        <w:jc w:val="center"/>
        <w:rPr>
          <w:rFonts w:ascii="宋体" w:hAnsi="宋体"/>
          <w:b/>
          <w:sz w:val="36"/>
        </w:rPr>
      </w:pPr>
      <w:r>
        <w:rPr>
          <w:rFonts w:hint="eastAsia" w:ascii="宋体" w:hAnsi="宋体"/>
          <w:b/>
          <w:sz w:val="36"/>
        </w:rPr>
        <w:t>决算公开报表</w:t>
      </w:r>
    </w:p>
    <w:p>
      <w:pPr>
        <w:spacing w:line="240" w:lineRule="atLeast"/>
        <w:jc w:val="center"/>
        <w:rPr>
          <w:rFonts w:ascii="宋体" w:hAnsi="宋体"/>
          <w:b/>
          <w:sz w:val="36"/>
        </w:rPr>
      </w:pPr>
      <w:r>
        <w:rPr>
          <w:rFonts w:hint="eastAsia" w:ascii="宋体" w:hAnsi="宋体" w:cs="宋体"/>
          <w:color w:val="000000"/>
          <w:sz w:val="32"/>
          <w:szCs w:val="32"/>
        </w:rPr>
        <w:t>2018年度收入支出决算总表</w:t>
      </w:r>
    </w:p>
    <w:tbl>
      <w:tblPr>
        <w:tblStyle w:val="4"/>
        <w:tblW w:w="0" w:type="auto"/>
        <w:tblInd w:w="646" w:type="dxa"/>
        <w:tblLayout w:type="autofit"/>
        <w:tblCellMar>
          <w:top w:w="0" w:type="dxa"/>
          <w:left w:w="108" w:type="dxa"/>
          <w:bottom w:w="0" w:type="dxa"/>
          <w:right w:w="108" w:type="dxa"/>
        </w:tblCellMar>
      </w:tblPr>
      <w:tblGrid>
        <w:gridCol w:w="3096"/>
        <w:gridCol w:w="576"/>
        <w:gridCol w:w="711"/>
        <w:gridCol w:w="2556"/>
        <w:gridCol w:w="576"/>
        <w:gridCol w:w="711"/>
      </w:tblGrid>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收入</w:t>
            </w:r>
          </w:p>
        </w:tc>
        <w:tc>
          <w:tcPr>
            <w:tcW w:w="0" w:type="auto"/>
            <w:gridSpan w:val="3"/>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支出</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项目</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行次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金额</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项目</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行次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金额</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一、财政拨款收入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132.83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其中：政府性基金预算财政拨款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二、上级补助收入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三、事业收入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四、经营收入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五、附属单位上缴收入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六、其他收入</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七、文化体育与传媒支出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九、医疗卫生与计划生育支出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十四、资源勘探信息等支出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十八、国土海洋气象等支出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8.63</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二十一、其他支出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二十二、债务还本支出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二十三、债务付息支出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141.46</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用事业基金弥补收支差额</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结余分配</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年初结转和结余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其中：提取职工福利基金</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其中：项目支出结转和结余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转入事业基金</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年末结转和结余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其中：项目支出结转和结余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总计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141.46</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总计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141.46</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注：1.本表依据《收入支出决算总表》（财决01表）进行公开。</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2.本表含政府性基金预算财政款。</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3.本表以“万元”为金额单位（保留两位小数）。</w:t>
            </w:r>
          </w:p>
        </w:tc>
      </w:tr>
    </w:tbl>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ind w:firstLine="390"/>
        <w:contextualSpacing/>
        <w:jc w:val="center"/>
        <w:rPr>
          <w:rFonts w:ascii="宋体" w:hAnsi="宋体" w:cs="宋体"/>
          <w:color w:val="000000"/>
          <w:sz w:val="32"/>
          <w:szCs w:val="32"/>
        </w:rPr>
      </w:pPr>
      <w:r>
        <w:rPr>
          <w:rFonts w:hint="eastAsia" w:ascii="宋体" w:hAnsi="宋体" w:cs="宋体"/>
          <w:color w:val="000000"/>
          <w:sz w:val="32"/>
          <w:szCs w:val="32"/>
        </w:rPr>
        <w:t>2018年度收入决算公开表</w:t>
      </w:r>
    </w:p>
    <w:p>
      <w:pPr>
        <w:suppressLineNumbers/>
        <w:spacing w:line="20" w:lineRule="atLeast"/>
        <w:ind w:firstLine="390"/>
        <w:contextualSpacing/>
        <w:jc w:val="center"/>
        <w:rPr>
          <w:rFonts w:ascii="宋体" w:hAnsi="宋体" w:cs="宋体"/>
          <w:color w:val="000000"/>
          <w:sz w:val="32"/>
          <w:szCs w:val="32"/>
        </w:rPr>
      </w:pPr>
    </w:p>
    <w:tbl>
      <w:tblPr>
        <w:tblStyle w:val="4"/>
        <w:tblW w:w="0" w:type="auto"/>
        <w:tblInd w:w="108" w:type="dxa"/>
        <w:tblLayout w:type="autofit"/>
        <w:tblCellMar>
          <w:top w:w="0" w:type="dxa"/>
          <w:left w:w="108" w:type="dxa"/>
          <w:bottom w:w="0" w:type="dxa"/>
          <w:right w:w="108" w:type="dxa"/>
        </w:tblCellMar>
      </w:tblPr>
      <w:tblGrid>
        <w:gridCol w:w="416"/>
        <w:gridCol w:w="416"/>
        <w:gridCol w:w="416"/>
        <w:gridCol w:w="1823"/>
        <w:gridCol w:w="1082"/>
        <w:gridCol w:w="1083"/>
        <w:gridCol w:w="979"/>
        <w:gridCol w:w="786"/>
        <w:gridCol w:w="786"/>
        <w:gridCol w:w="1173"/>
        <w:gridCol w:w="786"/>
      </w:tblGrid>
      <w:tr>
        <w:tblPrEx>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科目编码</w:t>
            </w:r>
          </w:p>
        </w:tc>
        <w:tc>
          <w:tcPr>
            <w:tcW w:w="0" w:type="auto"/>
            <w:vMerge w:val="restart"/>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科目名称</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本年收入合计</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财政拨款收入</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上级补助收入</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事业收入</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经营收入</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其他收入</w:t>
            </w: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类</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款</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项</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栏次</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6</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7</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合计</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141.44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141.44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201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20104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发展与改革事务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2010401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行政运行</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2010408</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物价管理</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221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22102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住房改革支出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2210201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注：1.本表依据《收入决算表》（财决03表）进行公开。</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2.本表含政府性基金预算财政拨款。</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3.本表公开到项级科目。</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000000" w:fill="FFFFFF"/>
            <w:noWrap/>
            <w:vAlign w:val="center"/>
          </w:tcPr>
          <w:p>
            <w:pPr>
              <w:adjustRightInd/>
              <w:snapToGrid/>
              <w:spacing w:after="0"/>
              <w:ind w:firstLine="390"/>
              <w:rPr>
                <w:rFonts w:ascii="宋体" w:hAnsi="宋体" w:eastAsia="宋体" w:cs="Arial"/>
                <w:sz w:val="20"/>
                <w:szCs w:val="20"/>
              </w:rPr>
            </w:pPr>
            <w:r>
              <w:rPr>
                <w:rFonts w:hint="eastAsia" w:ascii="宋体" w:hAnsi="宋体" w:eastAsia="宋体" w:cs="Arial"/>
                <w:sz w:val="20"/>
                <w:szCs w:val="20"/>
              </w:rPr>
              <w:t>4.本表以“万元”为金额单位（保留两位小数）。</w:t>
            </w: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tc>
      </w:tr>
    </w:tbl>
    <w:p>
      <w:pPr>
        <w:suppressLineNumbers/>
        <w:spacing w:line="20" w:lineRule="atLeast"/>
        <w:ind w:firstLine="390"/>
        <w:contextualSpacing/>
        <w:jc w:val="center"/>
        <w:rPr>
          <w:rFonts w:ascii="宋体" w:hAnsi="宋体" w:cs="宋体"/>
          <w:color w:val="000000"/>
          <w:sz w:val="32"/>
          <w:szCs w:val="32"/>
        </w:rPr>
      </w:pPr>
      <w:r>
        <w:rPr>
          <w:rFonts w:hint="eastAsia" w:ascii="宋体" w:hAnsi="宋体" w:cs="宋体"/>
          <w:color w:val="000000"/>
          <w:sz w:val="32"/>
          <w:szCs w:val="32"/>
        </w:rPr>
        <w:t>2018年度支出决算表</w:t>
      </w:r>
    </w:p>
    <w:tbl>
      <w:tblPr>
        <w:tblStyle w:val="4"/>
        <w:tblW w:w="0" w:type="auto"/>
        <w:tblInd w:w="93" w:type="dxa"/>
        <w:tblLayout w:type="autofit"/>
        <w:tblCellMar>
          <w:top w:w="0" w:type="dxa"/>
          <w:left w:w="108" w:type="dxa"/>
          <w:bottom w:w="0" w:type="dxa"/>
          <w:right w:w="108" w:type="dxa"/>
        </w:tblCellMar>
      </w:tblPr>
      <w:tblGrid>
        <w:gridCol w:w="416"/>
        <w:gridCol w:w="416"/>
        <w:gridCol w:w="416"/>
        <w:gridCol w:w="1823"/>
        <w:gridCol w:w="1225"/>
        <w:gridCol w:w="943"/>
        <w:gridCol w:w="884"/>
        <w:gridCol w:w="1166"/>
        <w:gridCol w:w="884"/>
        <w:gridCol w:w="1588"/>
      </w:tblGrid>
      <w:tr>
        <w:tblPrEx>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科目编码</w:t>
            </w:r>
          </w:p>
        </w:tc>
        <w:tc>
          <w:tcPr>
            <w:tcW w:w="0" w:type="auto"/>
            <w:vMerge w:val="restart"/>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科目名称</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本年支出合计</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基本支出</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项目支出</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上缴上级支出</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经营支出</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对附属单位补助支出</w:t>
            </w: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类</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款</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项</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栏次</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6</w:t>
            </w:r>
          </w:p>
        </w:tc>
      </w:tr>
      <w:tr>
        <w:tblPrEx>
          <w:tblCellMar>
            <w:top w:w="0" w:type="dxa"/>
            <w:left w:w="108" w:type="dxa"/>
            <w:bottom w:w="0" w:type="dxa"/>
            <w:right w:w="108"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合计</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136.44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201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5.02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20104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发展与改革事务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132.83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5.02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2010401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行政运行</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2010408</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物价管理</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221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22102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20"/>
                <w:szCs w:val="20"/>
              </w:rPr>
            </w:pPr>
            <w:r>
              <w:rPr>
                <w:rFonts w:hint="eastAsia" w:ascii="宋体" w:hAnsi="宋体" w:eastAsia="宋体" w:cs="Arial"/>
                <w:b/>
                <w:bCs/>
                <w:sz w:val="20"/>
                <w:szCs w:val="20"/>
              </w:rPr>
              <w:t>住房改革支出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20"/>
                <w:szCs w:val="20"/>
              </w:rPr>
            </w:pPr>
            <w:r>
              <w:rPr>
                <w:rFonts w:hint="eastAsia" w:ascii="宋体" w:hAnsi="宋体" w:eastAsia="宋体" w:cs="Arial"/>
                <w:b/>
                <w:bCs/>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2210201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住房公积金</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注：1.本表依据《支出决算表》（财决04表）进行公开。</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2.本表含政府性基金预算财政拨款。</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3.本表公开到项级科目。</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4.本表以“万元”为金额单位（保留两位小数）。</w:t>
            </w:r>
          </w:p>
        </w:tc>
      </w:tr>
    </w:tbl>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pacing w:line="20" w:lineRule="atLeast"/>
        <w:ind w:firstLine="390"/>
        <w:contextualSpacing/>
        <w:jc w:val="center"/>
        <w:rPr>
          <w:rFonts w:ascii="宋体" w:hAnsi="宋体" w:cs="宋体"/>
          <w:color w:val="000000"/>
          <w:sz w:val="32"/>
          <w:szCs w:val="32"/>
        </w:rPr>
      </w:pPr>
      <w:r>
        <w:rPr>
          <w:rFonts w:hint="eastAsia" w:ascii="宋体" w:hAnsi="宋体" w:cs="宋体"/>
          <w:color w:val="000000"/>
          <w:sz w:val="32"/>
          <w:szCs w:val="32"/>
        </w:rPr>
        <w:t>2018年度财政拨款收入支出决算表</w:t>
      </w:r>
    </w:p>
    <w:tbl>
      <w:tblPr>
        <w:tblStyle w:val="4"/>
        <w:tblW w:w="0" w:type="auto"/>
        <w:tblInd w:w="93" w:type="dxa"/>
        <w:tblLayout w:type="autofit"/>
        <w:tblCellMar>
          <w:top w:w="0" w:type="dxa"/>
          <w:left w:w="108" w:type="dxa"/>
          <w:bottom w:w="0" w:type="dxa"/>
          <w:right w:w="108" w:type="dxa"/>
        </w:tblCellMar>
      </w:tblPr>
      <w:tblGrid>
        <w:gridCol w:w="2816"/>
        <w:gridCol w:w="439"/>
        <w:gridCol w:w="766"/>
        <w:gridCol w:w="2816"/>
        <w:gridCol w:w="439"/>
        <w:gridCol w:w="766"/>
        <w:gridCol w:w="936"/>
        <w:gridCol w:w="783"/>
      </w:tblGrid>
      <w:tr>
        <w:tblPrEx>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收     入</w:t>
            </w:r>
          </w:p>
        </w:tc>
        <w:tc>
          <w:tcPr>
            <w:tcW w:w="0" w:type="auto"/>
            <w:gridSpan w:val="5"/>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支     出</w:t>
            </w: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项目</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行次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金额</w:t>
            </w:r>
          </w:p>
        </w:tc>
        <w:tc>
          <w:tcPr>
            <w:tcW w:w="0" w:type="auto"/>
            <w:vMerge w:val="restart"/>
            <w:tcBorders>
              <w:top w:val="nil"/>
              <w:left w:val="nil"/>
              <w:bottom w:val="single" w:color="000000" w:sz="4" w:space="0"/>
              <w:right w:val="single" w:color="000000" w:sz="4" w:space="0"/>
            </w:tcBorders>
            <w:shd w:val="clear" w:color="000000" w:fill="C0C0C0"/>
            <w:vAlign w:val="bottom"/>
          </w:tcPr>
          <w:p>
            <w:pPr>
              <w:adjustRightInd/>
              <w:snapToGrid/>
              <w:spacing w:after="0"/>
              <w:rPr>
                <w:rFonts w:ascii="宋体" w:hAnsi="宋体" w:eastAsia="宋体" w:cs="Arial"/>
                <w:sz w:val="20"/>
                <w:szCs w:val="20"/>
              </w:rPr>
            </w:pPr>
            <w:r>
              <w:rPr>
                <w:rFonts w:hint="eastAsia" w:ascii="宋体" w:hAnsi="宋体" w:eastAsia="宋体" w:cs="Arial"/>
                <w:sz w:val="20"/>
                <w:szCs w:val="20"/>
              </w:rPr>
              <w:t>项目</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行次</w:t>
            </w:r>
          </w:p>
        </w:tc>
        <w:tc>
          <w:tcPr>
            <w:tcW w:w="0" w:type="auto"/>
            <w:vMerge w:val="restart"/>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小计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一般公共预算财政拨款</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政府性基金预算财政拨款</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w:t>
            </w:r>
          </w:p>
        </w:tc>
        <w:tc>
          <w:tcPr>
            <w:tcW w:w="0" w:type="auto"/>
            <w:tcBorders>
              <w:top w:val="nil"/>
              <w:left w:val="nil"/>
              <w:bottom w:val="single" w:color="000000" w:sz="4" w:space="0"/>
              <w:right w:val="single" w:color="000000" w:sz="4" w:space="0"/>
            </w:tcBorders>
            <w:shd w:val="clear" w:color="000000" w:fill="C0C0C0"/>
            <w:noWrap/>
            <w:vAlign w:val="bottom"/>
          </w:tcPr>
          <w:p>
            <w:pPr>
              <w:adjustRightInd/>
              <w:snapToGrid/>
              <w:spacing w:after="0"/>
              <w:rPr>
                <w:rFonts w:ascii="宋体" w:hAnsi="宋体" w:eastAsia="宋体" w:cs="Arial"/>
                <w:sz w:val="20"/>
                <w:szCs w:val="20"/>
              </w:rPr>
            </w:pPr>
            <w:r>
              <w:rPr>
                <w:rFonts w:hint="eastAsia" w:ascii="宋体" w:hAnsi="宋体" w:eastAsia="宋体" w:cs="Arial"/>
                <w:sz w:val="20"/>
                <w:szCs w:val="20"/>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一、一般公共预算财政拨款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一、一般公共服务支出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132.83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132.83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二、外交支出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三、国防支出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四、公共安全支出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五、教育支出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六、科学技术支出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七、文化体育与传媒支出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八、社会保障和就业支出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九、医疗卫生与计划生育支出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十、节能环保支出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39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十一、城乡社区支出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十二、农林水支出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十三、交通运输支出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十四、资源勘探信息等支出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十五、商业服务业等支出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十六、金融支出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十七、援助其他地区支出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十八、国土海洋气象等支出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19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十九、住房保障支出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二十、粮油物资储备支出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49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二十一、其他支出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二十二、债务还本支出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二十三、债务付息支出</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本年收入合计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本年支出合计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年初财政拨款结转和结余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年末财政拨款结转和结余</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一般公共预算财政拨款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55</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政府性基金预算财政拨款</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57</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总计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29</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141.46</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总计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58</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注：1.本表依据《财政拨款收入支出决算总表》（财决01-1表）进行公开。</w:t>
            </w:r>
          </w:p>
        </w:tc>
      </w:tr>
      <w:tr>
        <w:tblPrEx>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2.本表以“万元”为金额单位（保留两位小数）。</w:t>
            </w:r>
          </w:p>
        </w:tc>
      </w:tr>
    </w:tbl>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jc w:val="center"/>
        <w:rPr>
          <w:rFonts w:ascii="宋体" w:hAnsi="宋体" w:cs="宋体"/>
          <w:color w:val="000000"/>
          <w:sz w:val="32"/>
          <w:szCs w:val="32"/>
        </w:rPr>
      </w:pPr>
      <w:r>
        <w:rPr>
          <w:rFonts w:hint="eastAsia" w:ascii="宋体" w:hAnsi="宋体" w:cs="宋体"/>
          <w:color w:val="000000"/>
          <w:sz w:val="32"/>
          <w:szCs w:val="32"/>
        </w:rPr>
        <w:t>2018年度一般公共预算财政拨款收入支出决算表</w:t>
      </w:r>
    </w:p>
    <w:tbl>
      <w:tblPr>
        <w:tblStyle w:val="4"/>
        <w:tblpPr w:leftFromText="180" w:rightFromText="180" w:vertAnchor="text" w:horzAnchor="margin" w:tblpXSpec="center" w:tblpY="800"/>
        <w:tblW w:w="9758" w:type="dxa"/>
        <w:tblInd w:w="0" w:type="dxa"/>
        <w:tblLayout w:type="autofit"/>
        <w:tblCellMar>
          <w:top w:w="0" w:type="dxa"/>
          <w:left w:w="108" w:type="dxa"/>
          <w:bottom w:w="0" w:type="dxa"/>
          <w:right w:w="108" w:type="dxa"/>
        </w:tblCellMar>
      </w:tblPr>
      <w:tblGrid>
        <w:gridCol w:w="351"/>
        <w:gridCol w:w="351"/>
        <w:gridCol w:w="351"/>
        <w:gridCol w:w="1302"/>
        <w:gridCol w:w="487"/>
        <w:gridCol w:w="455"/>
        <w:gridCol w:w="643"/>
        <w:gridCol w:w="591"/>
        <w:gridCol w:w="723"/>
        <w:gridCol w:w="572"/>
        <w:gridCol w:w="591"/>
        <w:gridCol w:w="723"/>
        <w:gridCol w:w="572"/>
        <w:gridCol w:w="486"/>
        <w:gridCol w:w="600"/>
        <w:gridCol w:w="600"/>
        <w:gridCol w:w="456"/>
      </w:tblGrid>
      <w:tr>
        <w:tblPrEx>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科目编码</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科目名称</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年初结转和结余</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本年收入</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本年支出</w:t>
            </w:r>
          </w:p>
        </w:tc>
        <w:tc>
          <w:tcPr>
            <w:tcW w:w="0" w:type="auto"/>
            <w:gridSpan w:val="4"/>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年末结转和结余</w:t>
            </w: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577"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396"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gridSpan w:val="2"/>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r>
      <w:tr>
        <w:tblPrEx>
          <w:tblCellMar>
            <w:top w:w="0" w:type="dxa"/>
            <w:left w:w="108" w:type="dxa"/>
            <w:bottom w:w="0" w:type="dxa"/>
            <w:right w:w="108" w:type="dxa"/>
          </w:tblCellMar>
        </w:tblPrEx>
        <w:trPr>
          <w:trHeight w:val="27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57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39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项目支出结余</w:t>
            </w:r>
          </w:p>
        </w:tc>
      </w:tr>
      <w:tr>
        <w:tblPrEx>
          <w:tblCellMar>
            <w:top w:w="0" w:type="dxa"/>
            <w:left w:w="108" w:type="dxa"/>
            <w:bottom w:w="0" w:type="dxa"/>
            <w:right w:w="108" w:type="dxa"/>
          </w:tblCellMar>
        </w:tblPrEx>
        <w:trPr>
          <w:trHeight w:val="49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577"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396"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类</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款</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栏次</w:t>
            </w:r>
          </w:p>
        </w:tc>
        <w:tc>
          <w:tcPr>
            <w:tcW w:w="577"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w:t>
            </w:r>
          </w:p>
        </w:tc>
        <w:tc>
          <w:tcPr>
            <w:tcW w:w="396"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7</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8</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9</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13</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合计</w:t>
            </w:r>
          </w:p>
        </w:tc>
        <w:tc>
          <w:tcPr>
            <w:tcW w:w="57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39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136.44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141.46</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136.44</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201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一般公共服务支出</w:t>
            </w:r>
          </w:p>
        </w:tc>
        <w:tc>
          <w:tcPr>
            <w:tcW w:w="577"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0.02</w:t>
            </w:r>
          </w:p>
        </w:tc>
        <w:tc>
          <w:tcPr>
            <w:tcW w:w="396"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5.00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132.83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5.02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20104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发展与改革事务</w:t>
            </w:r>
          </w:p>
        </w:tc>
        <w:tc>
          <w:tcPr>
            <w:tcW w:w="577"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0.02</w:t>
            </w:r>
          </w:p>
        </w:tc>
        <w:tc>
          <w:tcPr>
            <w:tcW w:w="396"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132.81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5.00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132.83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127.81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5.02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2010401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行政运行</w:t>
            </w:r>
          </w:p>
        </w:tc>
        <w:tc>
          <w:tcPr>
            <w:tcW w:w="57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39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127.81</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2010408</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物价管理</w:t>
            </w:r>
          </w:p>
        </w:tc>
        <w:tc>
          <w:tcPr>
            <w:tcW w:w="57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39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5.02</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221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住房保障支出</w:t>
            </w:r>
          </w:p>
        </w:tc>
        <w:tc>
          <w:tcPr>
            <w:tcW w:w="577"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396"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22102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b/>
                <w:bCs/>
                <w:sz w:val="18"/>
                <w:szCs w:val="18"/>
              </w:rPr>
            </w:pPr>
            <w:r>
              <w:rPr>
                <w:rFonts w:hint="eastAsia" w:ascii="宋体" w:hAnsi="宋体" w:eastAsia="宋体" w:cs="Arial"/>
                <w:b/>
                <w:bCs/>
                <w:sz w:val="18"/>
                <w:szCs w:val="18"/>
              </w:rPr>
              <w:t>住房改革支出</w:t>
            </w:r>
          </w:p>
        </w:tc>
        <w:tc>
          <w:tcPr>
            <w:tcW w:w="577"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396" w:type="dxa"/>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8.63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right"/>
              <w:rPr>
                <w:rFonts w:ascii="宋体" w:hAnsi="宋体" w:eastAsia="宋体" w:cs="Arial"/>
                <w:b/>
                <w:bCs/>
                <w:sz w:val="18"/>
                <w:szCs w:val="18"/>
              </w:rPr>
            </w:pPr>
            <w:r>
              <w:rPr>
                <w:rFonts w:hint="eastAsia" w:ascii="宋体" w:hAnsi="宋体" w:eastAsia="宋体" w:cs="Arial"/>
                <w:b/>
                <w:bCs/>
                <w:sz w:val="18"/>
                <w:szCs w:val="18"/>
              </w:rPr>
              <w:t>0.00</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2210201</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xml:space="preserve">  住房公积金</w:t>
            </w:r>
          </w:p>
        </w:tc>
        <w:tc>
          <w:tcPr>
            <w:tcW w:w="577"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396"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8.63</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0.00</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注：1.本表依据《一般公共预算财政拨款收入支出决算表》（财决07表）和《项目收入支出决算表》（财决06表）进行公开。</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2.本表公开到项级科目。</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ind w:firstLine="390"/>
              <w:rPr>
                <w:rFonts w:ascii="宋体" w:hAnsi="宋体" w:eastAsia="宋体" w:cs="Arial"/>
                <w:sz w:val="20"/>
                <w:szCs w:val="20"/>
              </w:rPr>
            </w:pPr>
            <w:r>
              <w:rPr>
                <w:rFonts w:hint="eastAsia" w:ascii="宋体" w:hAnsi="宋体" w:eastAsia="宋体" w:cs="Arial"/>
                <w:sz w:val="20"/>
                <w:szCs w:val="20"/>
              </w:rPr>
              <w:t>3.本表以“万元”为金额单位（保留两位小数）。</w:t>
            </w: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jc w:val="center"/>
              <w:rPr>
                <w:rFonts w:ascii="宋体" w:hAnsi="宋体" w:cs="宋体"/>
                <w:color w:val="000000"/>
                <w:sz w:val="30"/>
                <w:szCs w:val="30"/>
              </w:rPr>
            </w:pPr>
          </w:p>
          <w:p>
            <w:pPr>
              <w:adjustRightInd/>
              <w:snapToGrid/>
              <w:spacing w:after="0"/>
              <w:jc w:val="center"/>
              <w:rPr>
                <w:rFonts w:ascii="宋体" w:hAnsi="宋体" w:cs="宋体"/>
                <w:color w:val="000000"/>
                <w:sz w:val="30"/>
                <w:szCs w:val="30"/>
              </w:rPr>
            </w:pPr>
          </w:p>
          <w:p>
            <w:pPr>
              <w:adjustRightInd/>
              <w:snapToGrid/>
              <w:spacing w:after="0"/>
              <w:jc w:val="center"/>
              <w:rPr>
                <w:rFonts w:ascii="宋体" w:hAnsi="宋体" w:cs="宋体"/>
                <w:color w:val="000000"/>
                <w:sz w:val="30"/>
                <w:szCs w:val="30"/>
              </w:rPr>
            </w:pPr>
          </w:p>
          <w:p>
            <w:pPr>
              <w:adjustRightInd/>
              <w:snapToGrid/>
              <w:spacing w:after="0"/>
              <w:jc w:val="center"/>
              <w:rPr>
                <w:rFonts w:ascii="宋体" w:hAnsi="宋体" w:cs="宋体"/>
                <w:color w:val="000000"/>
                <w:sz w:val="30"/>
                <w:szCs w:val="30"/>
              </w:rPr>
            </w:pPr>
            <w:r>
              <w:rPr>
                <w:rFonts w:hint="eastAsia" w:ascii="宋体" w:hAnsi="宋体" w:cs="宋体"/>
                <w:color w:val="000000"/>
                <w:sz w:val="30"/>
                <w:szCs w:val="30"/>
              </w:rPr>
              <w:t>2018年度一般公共预算财政拨款基本支出决算表</w:t>
            </w:r>
          </w:p>
          <w:p>
            <w:pPr>
              <w:adjustRightInd/>
              <w:snapToGrid/>
              <w:spacing w:after="0"/>
              <w:rPr>
                <w:rFonts w:ascii="宋体" w:hAnsi="宋体" w:eastAsia="宋体" w:cs="Arial"/>
                <w:sz w:val="20"/>
                <w:szCs w:val="20"/>
              </w:rPr>
            </w:pP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bl>
    <w:p>
      <w:pPr>
        <w:suppressLineNumbers/>
        <w:spacing w:line="20" w:lineRule="atLeast"/>
        <w:contextualSpacing/>
        <w:jc w:val="center"/>
        <w:rPr>
          <w:rFonts w:ascii="宋体" w:hAnsi="宋体" w:cs="宋体"/>
          <w:color w:val="000000"/>
          <w:sz w:val="32"/>
          <w:szCs w:val="32"/>
        </w:rPr>
      </w:pPr>
      <w:r>
        <w:rPr>
          <w:rFonts w:hint="eastAsia" w:ascii="宋体" w:hAnsi="宋体" w:cs="宋体"/>
          <w:color w:val="000000"/>
          <w:sz w:val="32"/>
          <w:szCs w:val="32"/>
        </w:rPr>
        <w:t xml:space="preserve"> </w:t>
      </w:r>
    </w:p>
    <w:tbl>
      <w:tblPr>
        <w:tblStyle w:val="4"/>
        <w:tblW w:w="10221" w:type="dxa"/>
        <w:tblInd w:w="93" w:type="dxa"/>
        <w:tblLayout w:type="fixed"/>
        <w:tblCellMar>
          <w:top w:w="0" w:type="dxa"/>
          <w:left w:w="108" w:type="dxa"/>
          <w:bottom w:w="0" w:type="dxa"/>
          <w:right w:w="108" w:type="dxa"/>
        </w:tblCellMar>
      </w:tblPr>
      <w:tblGrid>
        <w:gridCol w:w="724"/>
        <w:gridCol w:w="1885"/>
        <w:gridCol w:w="950"/>
        <w:gridCol w:w="851"/>
        <w:gridCol w:w="1134"/>
        <w:gridCol w:w="708"/>
        <w:gridCol w:w="709"/>
        <w:gridCol w:w="2158"/>
        <w:gridCol w:w="1102"/>
      </w:tblGrid>
      <w:tr>
        <w:tblPrEx>
          <w:tblCellMar>
            <w:top w:w="0" w:type="dxa"/>
            <w:left w:w="108" w:type="dxa"/>
            <w:bottom w:w="0" w:type="dxa"/>
            <w:right w:w="108" w:type="dxa"/>
          </w:tblCellMar>
        </w:tblPrEx>
        <w:trPr>
          <w:trHeight w:val="284" w:hRule="exact"/>
        </w:trPr>
        <w:tc>
          <w:tcPr>
            <w:tcW w:w="3559" w:type="dxa"/>
            <w:gridSpan w:val="3"/>
            <w:tcBorders>
              <w:top w:val="single" w:color="000000" w:sz="4" w:space="0"/>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人员经费</w:t>
            </w:r>
          </w:p>
        </w:tc>
        <w:tc>
          <w:tcPr>
            <w:tcW w:w="6662" w:type="dxa"/>
            <w:gridSpan w:val="6"/>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公用经费</w:t>
            </w:r>
          </w:p>
        </w:tc>
      </w:tr>
      <w:tr>
        <w:tblPrEx>
          <w:tblCellMar>
            <w:top w:w="0" w:type="dxa"/>
            <w:left w:w="108" w:type="dxa"/>
            <w:bottom w:w="0" w:type="dxa"/>
            <w:right w:w="108" w:type="dxa"/>
          </w:tblCellMar>
        </w:tblPrEx>
        <w:trPr>
          <w:trHeight w:val="284" w:hRule="exact"/>
        </w:trPr>
        <w:tc>
          <w:tcPr>
            <w:tcW w:w="724" w:type="dxa"/>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科目编码</w:t>
            </w:r>
          </w:p>
        </w:tc>
        <w:tc>
          <w:tcPr>
            <w:tcW w:w="1885"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科目名称</w:t>
            </w:r>
          </w:p>
        </w:tc>
        <w:tc>
          <w:tcPr>
            <w:tcW w:w="950"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金额</w:t>
            </w:r>
          </w:p>
        </w:tc>
        <w:tc>
          <w:tcPr>
            <w:tcW w:w="851"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科目编码</w:t>
            </w:r>
          </w:p>
        </w:tc>
        <w:tc>
          <w:tcPr>
            <w:tcW w:w="1134"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科目名称</w:t>
            </w:r>
          </w:p>
        </w:tc>
        <w:tc>
          <w:tcPr>
            <w:tcW w:w="708"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金额</w:t>
            </w:r>
          </w:p>
        </w:tc>
        <w:tc>
          <w:tcPr>
            <w:tcW w:w="709"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科目编码</w:t>
            </w:r>
          </w:p>
        </w:tc>
        <w:tc>
          <w:tcPr>
            <w:tcW w:w="2158"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科目名称</w:t>
            </w:r>
          </w:p>
        </w:tc>
        <w:tc>
          <w:tcPr>
            <w:tcW w:w="1102" w:type="dxa"/>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金额</w:t>
            </w:r>
          </w:p>
        </w:tc>
      </w:tr>
      <w:tr>
        <w:tblPrEx>
          <w:tblCellMar>
            <w:top w:w="0" w:type="dxa"/>
            <w:left w:w="108" w:type="dxa"/>
            <w:bottom w:w="0" w:type="dxa"/>
            <w:right w:w="108" w:type="dxa"/>
          </w:tblCellMar>
        </w:tblPrEx>
        <w:trPr>
          <w:trHeight w:val="665" w:hRule="exact"/>
        </w:trPr>
        <w:tc>
          <w:tcPr>
            <w:tcW w:w="724" w:type="dxa"/>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1885"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950"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851"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1134"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708"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709"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2158"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c>
          <w:tcPr>
            <w:tcW w:w="1102" w:type="dxa"/>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20"/>
                <w:szCs w:val="20"/>
              </w:rPr>
            </w:pP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工资福利支出</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123.39</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商品和服务支出</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13.06</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307</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债务利息及费用支出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30101</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基本工资</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50.35</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30201</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办公费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6.33</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30701</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国内债务付息</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30102</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津贴补贴</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14.03</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30202</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印刷费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0.39</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30702</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国外债务付息</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30103</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奖金</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11.10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30203</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咨询费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资本性支出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30106</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伙食补助费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30204</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手续费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31001</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房屋建筑物购建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30107</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绩效工资</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15.41</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30205</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水费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31002</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办公设备购置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30108</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机关事业单位基本养老保险费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16.72</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30206</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电费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31003</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专用设备购置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30109</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职业年金缴费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30207</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邮电费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0.36</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31005</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基础设施建设</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30110</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职工基本医疗保险缴费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6.07</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30208</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取暖费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31006</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大型修缮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30111</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公务员医疗补助缴费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30209</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物业管理费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31007</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信息网络及软件购置更新</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30112</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其他社会保障缴费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30211</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差旅费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0.07</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31008</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物资储备</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30113</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住房公积金</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8.63</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30212</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因公出国（境）费用</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31009</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土地补偿</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30114</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医疗费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1.08</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30213</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维修（护）费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31010</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安置补助</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30199</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其他工资福利支出</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30214</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租赁费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31011</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地上附着物和青苗补偿</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对个人和家庭的补助</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30215</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会议费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31012</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拆迁补偿</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30301</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离休费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30216</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培训费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31013</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公务用车购置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30302</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退休费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30217</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公务招待费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31019</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其他交通工具购置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30303</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退职（役）费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30218</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专用材料费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31021</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文物和陈列品购置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30304</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抚恤金</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30224</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被装购置费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31022</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无形资产购置</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30305</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生活补助</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30225</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专用燃料费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31099</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其他资本性支出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30306</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救济费</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30226</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劳务费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0.02</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399</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其他支出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30307</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医疗费补助</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30227</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委托业务费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39906</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赠与</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30308</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助学金</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30228</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工会经费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39907</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国家赔偿费用支出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30309</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奖励金</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30229</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福利费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39908</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对民间非营利组织和群众性自治组织补贴</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30310</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个人农业生产补贴</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30231</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公务用车运行维护费</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39999</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其他支出</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30399</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其他对个人和家庭的补助支出</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30239</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其他交通费用</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5.88</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30240</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税金及附加费用</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284" w:hRule="exact"/>
        </w:trPr>
        <w:tc>
          <w:tcPr>
            <w:tcW w:w="724"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1885"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c>
          <w:tcPr>
            <w:tcW w:w="851"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30299</w:t>
            </w:r>
          </w:p>
        </w:tc>
        <w:tc>
          <w:tcPr>
            <w:tcW w:w="1134"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其他商品和服务支出</w:t>
            </w:r>
          </w:p>
        </w:tc>
        <w:tc>
          <w:tcPr>
            <w:tcW w:w="708"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0.00</w:t>
            </w:r>
          </w:p>
        </w:tc>
        <w:tc>
          <w:tcPr>
            <w:tcW w:w="709"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2158" w:type="dxa"/>
            <w:tcBorders>
              <w:top w:val="nil"/>
              <w:left w:val="nil"/>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284" w:hRule="exact"/>
        </w:trPr>
        <w:tc>
          <w:tcPr>
            <w:tcW w:w="2609" w:type="dxa"/>
            <w:gridSpan w:val="2"/>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人员经费合计</w:t>
            </w:r>
          </w:p>
        </w:tc>
        <w:tc>
          <w:tcPr>
            <w:tcW w:w="95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123.39</w:t>
            </w:r>
          </w:p>
        </w:tc>
        <w:tc>
          <w:tcPr>
            <w:tcW w:w="5560" w:type="dxa"/>
            <w:gridSpan w:val="5"/>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20"/>
                <w:szCs w:val="20"/>
              </w:rPr>
            </w:pPr>
            <w:r>
              <w:rPr>
                <w:rFonts w:hint="eastAsia" w:ascii="宋体" w:hAnsi="宋体" w:eastAsia="宋体" w:cs="Arial"/>
                <w:sz w:val="20"/>
                <w:szCs w:val="20"/>
              </w:rPr>
              <w:t>公用经费合计</w:t>
            </w:r>
          </w:p>
        </w:tc>
        <w:tc>
          <w:tcPr>
            <w:tcW w:w="1102"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0"/>
                <w:szCs w:val="20"/>
              </w:rPr>
            </w:pPr>
            <w:r>
              <w:rPr>
                <w:rFonts w:hint="eastAsia" w:ascii="宋体" w:hAnsi="宋体" w:eastAsia="宋体" w:cs="Arial"/>
                <w:sz w:val="20"/>
                <w:szCs w:val="20"/>
              </w:rPr>
              <w:t>13.06</w:t>
            </w:r>
          </w:p>
        </w:tc>
      </w:tr>
      <w:tr>
        <w:tblPrEx>
          <w:tblCellMar>
            <w:top w:w="0" w:type="dxa"/>
            <w:left w:w="108" w:type="dxa"/>
            <w:bottom w:w="0" w:type="dxa"/>
            <w:right w:w="108" w:type="dxa"/>
          </w:tblCellMar>
        </w:tblPrEx>
        <w:trPr>
          <w:trHeight w:val="284" w:hRule="exact"/>
        </w:trPr>
        <w:tc>
          <w:tcPr>
            <w:tcW w:w="10221" w:type="dxa"/>
            <w:gridSpan w:val="9"/>
            <w:tcBorders>
              <w:top w:val="nil"/>
              <w:left w:val="nil"/>
              <w:bottom w:val="nil"/>
              <w:right w:val="nil"/>
            </w:tcBorders>
            <w:shd w:val="clear" w:color="000000" w:fill="FFFFFF"/>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注：1.本表依据《一般公共预算财政拨款基本支出决算明细表》（财决08-1表）进行公开。</w:t>
            </w:r>
          </w:p>
        </w:tc>
      </w:tr>
      <w:tr>
        <w:tblPrEx>
          <w:tblCellMar>
            <w:top w:w="0" w:type="dxa"/>
            <w:left w:w="108" w:type="dxa"/>
            <w:bottom w:w="0" w:type="dxa"/>
            <w:right w:w="108" w:type="dxa"/>
          </w:tblCellMar>
        </w:tblPrEx>
        <w:trPr>
          <w:trHeight w:val="284" w:hRule="exact"/>
        </w:trPr>
        <w:tc>
          <w:tcPr>
            <w:tcW w:w="10221" w:type="dxa"/>
            <w:gridSpan w:val="9"/>
            <w:tcBorders>
              <w:top w:val="nil"/>
              <w:left w:val="nil"/>
              <w:bottom w:val="nil"/>
              <w:right w:val="nil"/>
            </w:tcBorders>
            <w:shd w:val="clear" w:color="000000" w:fill="FFFFFF"/>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2.本表以“万元”为金额单位（保留两位小数）。</w:t>
            </w:r>
          </w:p>
        </w:tc>
      </w:tr>
    </w:tbl>
    <w:p>
      <w:pPr>
        <w:suppressLineNumbers/>
        <w:spacing w:line="20" w:lineRule="atLeast"/>
        <w:contextualSpacing/>
        <w:jc w:val="center"/>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p>
    <w:p>
      <w:pPr>
        <w:suppressLineNumbers/>
        <w:spacing w:line="20" w:lineRule="atLeast"/>
        <w:contextualSpacing/>
        <w:rPr>
          <w:rFonts w:ascii="宋体" w:hAnsi="宋体" w:cs="宋体"/>
          <w:color w:val="000000"/>
          <w:sz w:val="32"/>
          <w:szCs w:val="32"/>
        </w:rPr>
      </w:pPr>
      <w:r>
        <w:rPr>
          <w:rFonts w:hint="eastAsia" w:ascii="宋体" w:hAnsi="宋体" w:cs="宋体"/>
          <w:color w:val="000000"/>
          <w:sz w:val="32"/>
          <w:szCs w:val="32"/>
        </w:rPr>
        <w:t xml:space="preserve">    </w:t>
      </w:r>
    </w:p>
    <w:p>
      <w:pPr>
        <w:suppressLineNumbers/>
        <w:spacing w:line="20" w:lineRule="atLeast"/>
        <w:contextualSpacing/>
        <w:rPr>
          <w:rFonts w:ascii="宋体" w:hAnsi="宋体" w:cs="宋体"/>
          <w:color w:val="000000"/>
          <w:sz w:val="32"/>
          <w:szCs w:val="32"/>
        </w:rPr>
      </w:pPr>
    </w:p>
    <w:p>
      <w:pPr>
        <w:suppressLineNumbers/>
        <w:spacing w:line="360" w:lineRule="auto"/>
        <w:jc w:val="center"/>
        <w:rPr>
          <w:rFonts w:ascii="宋体" w:hAnsi="宋体"/>
          <w:b/>
          <w:sz w:val="36"/>
        </w:rPr>
      </w:pPr>
    </w:p>
    <w:p>
      <w:pPr>
        <w:spacing w:line="220" w:lineRule="atLeast"/>
      </w:pPr>
    </w:p>
    <w:p>
      <w:pPr>
        <w:spacing w:line="220" w:lineRule="atLeast"/>
      </w:pPr>
    </w:p>
    <w:p>
      <w:pPr>
        <w:spacing w:line="220" w:lineRule="atLeast"/>
        <w:jc w:val="center"/>
        <w:rPr>
          <w:rFonts w:ascii="宋体" w:hAnsi="宋体" w:cs="宋体"/>
          <w:color w:val="000000"/>
          <w:sz w:val="32"/>
          <w:szCs w:val="32"/>
        </w:rPr>
      </w:pPr>
      <w:r>
        <w:rPr>
          <w:rFonts w:hint="eastAsia" w:ascii="宋体" w:hAnsi="宋体" w:cs="宋体"/>
          <w:color w:val="000000"/>
          <w:sz w:val="32"/>
          <w:szCs w:val="32"/>
        </w:rPr>
        <w:t>2018年度政府性基金预算财政拨款收入支出决算表</w:t>
      </w:r>
    </w:p>
    <w:tbl>
      <w:tblPr>
        <w:tblStyle w:val="4"/>
        <w:tblW w:w="0" w:type="auto"/>
        <w:tblInd w:w="93" w:type="dxa"/>
        <w:tblLayout w:type="autofit"/>
        <w:tblCellMar>
          <w:top w:w="0" w:type="dxa"/>
          <w:left w:w="108" w:type="dxa"/>
          <w:bottom w:w="0" w:type="dxa"/>
          <w:right w:w="108" w:type="dxa"/>
        </w:tblCellMar>
      </w:tblPr>
      <w:tblGrid>
        <w:gridCol w:w="348"/>
        <w:gridCol w:w="348"/>
        <w:gridCol w:w="348"/>
        <w:gridCol w:w="664"/>
        <w:gridCol w:w="480"/>
        <w:gridCol w:w="750"/>
        <w:gridCol w:w="878"/>
        <w:gridCol w:w="480"/>
        <w:gridCol w:w="664"/>
        <w:gridCol w:w="664"/>
        <w:gridCol w:w="480"/>
        <w:gridCol w:w="664"/>
        <w:gridCol w:w="664"/>
        <w:gridCol w:w="480"/>
        <w:gridCol w:w="750"/>
        <w:gridCol w:w="750"/>
        <w:gridCol w:w="349"/>
      </w:tblGrid>
      <w:tr>
        <w:tblPrEx>
          <w:tblCellMar>
            <w:top w:w="0" w:type="dxa"/>
            <w:left w:w="108" w:type="dxa"/>
            <w:bottom w:w="0" w:type="dxa"/>
            <w:right w:w="108" w:type="dxa"/>
          </w:tblCellMar>
        </w:tblPrEx>
        <w:trPr>
          <w:trHeight w:val="3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科目编码</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科目名称</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年初结转和结余</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本年收入</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本年支出</w:t>
            </w:r>
          </w:p>
        </w:tc>
        <w:tc>
          <w:tcPr>
            <w:tcW w:w="0" w:type="auto"/>
            <w:gridSpan w:val="4"/>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年末结转和结余</w:t>
            </w: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gridSpan w:val="2"/>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r>
      <w:tr>
        <w:tblPrEx>
          <w:tblCellMar>
            <w:top w:w="0" w:type="dxa"/>
            <w:left w:w="108" w:type="dxa"/>
            <w:bottom w:w="0" w:type="dxa"/>
            <w:right w:w="108" w:type="dxa"/>
          </w:tblCellMar>
        </w:tblPrEx>
        <w:trPr>
          <w:trHeight w:val="3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项目支出结余</w:t>
            </w:r>
          </w:p>
        </w:tc>
      </w:tr>
      <w:tr>
        <w:tblPrEx>
          <w:tblCellMar>
            <w:top w:w="0" w:type="dxa"/>
            <w:left w:w="108" w:type="dxa"/>
            <w:bottom w:w="0" w:type="dxa"/>
            <w:right w:w="108" w:type="dxa"/>
          </w:tblCellMar>
        </w:tblPrEx>
        <w:trPr>
          <w:trHeight w:val="52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类</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款</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7</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8</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9</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13</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注：1.本表依据《政府性基金预算财政拨款收入支出决算表》（财决09表）和《项目收入支出决算表》（财决06表）进行公开。</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2.本表公开到项级科目。</w:t>
            </w: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r>
        <w:tblPrEx>
          <w:tblCellMar>
            <w:top w:w="0" w:type="dxa"/>
            <w:left w:w="108" w:type="dxa"/>
            <w:bottom w:w="0" w:type="dxa"/>
            <w:right w:w="108" w:type="dxa"/>
          </w:tblCellMar>
        </w:tblPrEx>
        <w:trPr>
          <w:trHeight w:val="300" w:hRule="atLeast"/>
        </w:trPr>
        <w:tc>
          <w:tcPr>
            <w:tcW w:w="0" w:type="auto"/>
            <w:gridSpan w:val="16"/>
            <w:tcBorders>
              <w:top w:val="nil"/>
              <w:left w:val="nil"/>
              <w:bottom w:val="nil"/>
              <w:right w:val="nil"/>
            </w:tcBorders>
            <w:shd w:val="clear" w:color="000000" w:fill="FFFFFF"/>
            <w:noWrap/>
            <w:vAlign w:val="center"/>
          </w:tcPr>
          <w:p>
            <w:pPr>
              <w:adjustRightInd/>
              <w:snapToGrid/>
              <w:spacing w:after="0"/>
              <w:ind w:firstLine="390"/>
              <w:rPr>
                <w:rFonts w:ascii="宋体" w:hAnsi="宋体" w:eastAsia="宋体" w:cs="Arial"/>
                <w:sz w:val="20"/>
                <w:szCs w:val="20"/>
              </w:rPr>
            </w:pPr>
            <w:r>
              <w:rPr>
                <w:rFonts w:hint="eastAsia" w:ascii="宋体" w:hAnsi="宋体" w:eastAsia="宋体" w:cs="Arial"/>
                <w:sz w:val="20"/>
                <w:szCs w:val="20"/>
              </w:rPr>
              <w:t>3.本表以“万元”为金额单位（保留两位小数）。</w:t>
            </w: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p>
            <w:pPr>
              <w:adjustRightInd/>
              <w:snapToGrid/>
              <w:spacing w:after="0"/>
              <w:ind w:firstLine="390"/>
              <w:rPr>
                <w:rFonts w:ascii="宋体" w:hAnsi="宋体" w:eastAsia="宋体" w:cs="Arial"/>
                <w:sz w:val="20"/>
                <w:szCs w:val="20"/>
              </w:rPr>
            </w:pPr>
          </w:p>
        </w:tc>
        <w:tc>
          <w:tcPr>
            <w:tcW w:w="0" w:type="auto"/>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w:t>
            </w:r>
          </w:p>
        </w:tc>
      </w:tr>
    </w:tbl>
    <w:p>
      <w:pPr>
        <w:spacing w:line="220" w:lineRule="atLeast"/>
        <w:jc w:val="center"/>
        <w:rPr>
          <w:rFonts w:ascii="宋体" w:hAnsi="宋体" w:cs="宋体"/>
          <w:color w:val="000000"/>
          <w:sz w:val="32"/>
          <w:szCs w:val="32"/>
        </w:rPr>
      </w:pPr>
      <w:r>
        <w:rPr>
          <w:rFonts w:hint="eastAsia" w:ascii="宋体" w:hAnsi="宋体" w:cs="宋体"/>
          <w:color w:val="000000"/>
          <w:sz w:val="32"/>
          <w:szCs w:val="32"/>
        </w:rPr>
        <w:t>2018年度财政专户管理资金收入支出决算表</w:t>
      </w:r>
    </w:p>
    <w:tbl>
      <w:tblPr>
        <w:tblStyle w:val="4"/>
        <w:tblW w:w="0" w:type="auto"/>
        <w:tblInd w:w="250" w:type="dxa"/>
        <w:tblLayout w:type="autofit"/>
        <w:tblCellMar>
          <w:top w:w="0" w:type="dxa"/>
          <w:left w:w="108" w:type="dxa"/>
          <w:bottom w:w="0" w:type="dxa"/>
          <w:right w:w="108" w:type="dxa"/>
        </w:tblCellMar>
      </w:tblPr>
      <w:tblGrid>
        <w:gridCol w:w="459"/>
        <w:gridCol w:w="459"/>
        <w:gridCol w:w="459"/>
        <w:gridCol w:w="515"/>
        <w:gridCol w:w="438"/>
        <w:gridCol w:w="592"/>
        <w:gridCol w:w="707"/>
        <w:gridCol w:w="438"/>
        <w:gridCol w:w="515"/>
        <w:gridCol w:w="515"/>
        <w:gridCol w:w="438"/>
        <w:gridCol w:w="515"/>
        <w:gridCol w:w="515"/>
        <w:gridCol w:w="784"/>
        <w:gridCol w:w="515"/>
        <w:gridCol w:w="439"/>
        <w:gridCol w:w="593"/>
        <w:gridCol w:w="708"/>
      </w:tblGrid>
      <w:tr>
        <w:tblPrEx>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000000" w:fill="C0C0C0"/>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项目</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年初结转和结余</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本年收入</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本年支出</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用事业基金弥补收支差额</w:t>
            </w:r>
          </w:p>
        </w:tc>
        <w:tc>
          <w:tcPr>
            <w:tcW w:w="0" w:type="auto"/>
            <w:vMerge w:val="restart"/>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结余分配</w:t>
            </w:r>
          </w:p>
        </w:tc>
        <w:tc>
          <w:tcPr>
            <w:tcW w:w="0" w:type="auto"/>
            <w:gridSpan w:val="3"/>
            <w:tcBorders>
              <w:top w:val="single" w:color="000000" w:sz="4" w:space="0"/>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年末结转和结余</w:t>
            </w:r>
          </w:p>
        </w:tc>
      </w:tr>
      <w:tr>
        <w:tblPrEx>
          <w:tblCellMar>
            <w:top w:w="0" w:type="dxa"/>
            <w:left w:w="108" w:type="dxa"/>
            <w:bottom w:w="0" w:type="dxa"/>
            <w:right w:w="108" w:type="dxa"/>
          </w:tblCellMar>
        </w:tblPrEx>
        <w:trPr>
          <w:trHeight w:val="330" w:hRule="atLeast"/>
        </w:trPr>
        <w:tc>
          <w:tcPr>
            <w:tcW w:w="0" w:type="auto"/>
            <w:gridSpan w:val="3"/>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支出功能分类科目编码</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科目名称</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w:t>
            </w: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基本支出结转</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项目支出结转和结余</w:t>
            </w:r>
          </w:p>
        </w:tc>
      </w:tr>
      <w:tr>
        <w:tblPrEx>
          <w:tblCellMar>
            <w:top w:w="0" w:type="dxa"/>
            <w:left w:w="108" w:type="dxa"/>
            <w:bottom w:w="0" w:type="dxa"/>
            <w:right w:w="108" w:type="dxa"/>
          </w:tblCellMar>
        </w:tblPrEx>
        <w:trPr>
          <w:trHeight w:val="330"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r>
      <w:tr>
        <w:tblPrEx>
          <w:tblCellMar>
            <w:top w:w="0" w:type="dxa"/>
            <w:left w:w="108" w:type="dxa"/>
            <w:bottom w:w="0" w:type="dxa"/>
            <w:right w:w="108" w:type="dxa"/>
          </w:tblCellMar>
        </w:tblPrEx>
        <w:trPr>
          <w:trHeight w:val="420" w:hRule="atLeast"/>
        </w:trPr>
        <w:tc>
          <w:tcPr>
            <w:tcW w:w="0" w:type="auto"/>
            <w:gridSpan w:val="3"/>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single" w:color="000000" w:sz="4" w:space="0"/>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类</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款</w:t>
            </w:r>
          </w:p>
        </w:tc>
        <w:tc>
          <w:tcPr>
            <w:tcW w:w="0" w:type="auto"/>
            <w:vMerge w:val="restart"/>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项</w:t>
            </w: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栏次</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4</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5</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6</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7</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8</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9</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10</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11</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12</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13</w:t>
            </w:r>
          </w:p>
        </w:tc>
        <w:tc>
          <w:tcPr>
            <w:tcW w:w="0" w:type="auto"/>
            <w:tcBorders>
              <w:top w:val="nil"/>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14</w:t>
            </w: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vMerge w:val="continue"/>
            <w:tcBorders>
              <w:top w:val="nil"/>
              <w:left w:val="nil"/>
              <w:bottom w:val="single" w:color="000000" w:sz="4" w:space="0"/>
              <w:right w:val="single" w:color="000000" w:sz="4" w:space="0"/>
            </w:tcBorders>
            <w:vAlign w:val="center"/>
          </w:tcPr>
          <w:p>
            <w:pPr>
              <w:adjustRightInd/>
              <w:snapToGrid/>
              <w:spacing w:after="0"/>
              <w:rPr>
                <w:rFonts w:ascii="宋体" w:hAnsi="宋体" w:eastAsia="宋体" w:cs="Arial"/>
                <w:sz w:val="18"/>
                <w:szCs w:val="18"/>
              </w:rPr>
            </w:pPr>
          </w:p>
        </w:tc>
        <w:tc>
          <w:tcPr>
            <w:tcW w:w="0" w:type="auto"/>
            <w:tcBorders>
              <w:top w:val="nil"/>
              <w:left w:val="nil"/>
              <w:bottom w:val="single" w:color="000000" w:sz="4" w:space="0"/>
              <w:right w:val="single" w:color="000000" w:sz="4" w:space="0"/>
            </w:tcBorders>
            <w:shd w:val="clear" w:color="000000" w:fill="C0C0C0"/>
            <w:vAlign w:val="center"/>
          </w:tcPr>
          <w:p>
            <w:pPr>
              <w:adjustRightInd/>
              <w:snapToGrid/>
              <w:spacing w:after="0"/>
              <w:jc w:val="center"/>
              <w:rPr>
                <w:rFonts w:ascii="宋体" w:hAnsi="宋体" w:eastAsia="宋体" w:cs="Arial"/>
                <w:sz w:val="18"/>
                <w:szCs w:val="18"/>
              </w:rPr>
            </w:pPr>
            <w:r>
              <w:rPr>
                <w:rFonts w:hint="eastAsia" w:ascii="宋体" w:hAnsi="宋体" w:eastAsia="宋体" w:cs="Arial"/>
                <w:sz w:val="18"/>
                <w:szCs w:val="18"/>
              </w:rPr>
              <w:t>合计</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285" w:hRule="atLeast"/>
        </w:trPr>
        <w:tc>
          <w:tcPr>
            <w:tcW w:w="0" w:type="auto"/>
            <w:gridSpan w:val="3"/>
            <w:tcBorders>
              <w:top w:val="nil"/>
              <w:left w:val="single" w:color="000000" w:sz="4" w:space="0"/>
              <w:bottom w:val="single" w:color="000000" w:sz="4" w:space="0"/>
              <w:right w:val="single" w:color="000000" w:sz="4" w:space="0"/>
            </w:tcBorders>
            <w:shd w:val="clear" w:color="000000" w:fill="FF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CCFFFF"/>
            <w:noWrap/>
            <w:vAlign w:val="center"/>
          </w:tcPr>
          <w:p>
            <w:pPr>
              <w:adjustRightInd/>
              <w:snapToGrid/>
              <w:spacing w:after="0"/>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c>
          <w:tcPr>
            <w:tcW w:w="0" w:type="auto"/>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18"/>
                <w:szCs w:val="18"/>
              </w:rPr>
            </w:pPr>
            <w:r>
              <w:rPr>
                <w:rFonts w:hint="eastAsia" w:ascii="宋体" w:hAnsi="宋体" w:eastAsia="宋体" w:cs="Arial"/>
                <w:sz w:val="18"/>
                <w:szCs w:val="18"/>
              </w:rPr>
              <w:t>　</w:t>
            </w:r>
          </w:p>
        </w:tc>
      </w:tr>
      <w:tr>
        <w:tblPrEx>
          <w:tblCellMar>
            <w:top w:w="0" w:type="dxa"/>
            <w:left w:w="108" w:type="dxa"/>
            <w:bottom w:w="0" w:type="dxa"/>
            <w:right w:w="108" w:type="dxa"/>
          </w:tblCellMar>
        </w:tblPrEx>
        <w:trPr>
          <w:trHeight w:val="300" w:hRule="atLeast"/>
        </w:trPr>
        <w:tc>
          <w:tcPr>
            <w:tcW w:w="0" w:type="auto"/>
            <w:gridSpan w:val="18"/>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注：1.本表依据《财政专户管理资金收入支出决算表》（财决11表）进行公开。</w:t>
            </w:r>
          </w:p>
        </w:tc>
      </w:tr>
      <w:tr>
        <w:tblPrEx>
          <w:tblCellMar>
            <w:top w:w="0" w:type="dxa"/>
            <w:left w:w="108" w:type="dxa"/>
            <w:bottom w:w="0" w:type="dxa"/>
            <w:right w:w="108" w:type="dxa"/>
          </w:tblCellMar>
        </w:tblPrEx>
        <w:trPr>
          <w:trHeight w:val="300" w:hRule="atLeast"/>
        </w:trPr>
        <w:tc>
          <w:tcPr>
            <w:tcW w:w="0" w:type="auto"/>
            <w:gridSpan w:val="18"/>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2.本表公开到项级科目。</w:t>
            </w:r>
          </w:p>
        </w:tc>
      </w:tr>
      <w:tr>
        <w:tblPrEx>
          <w:tblCellMar>
            <w:top w:w="0" w:type="dxa"/>
            <w:left w:w="108" w:type="dxa"/>
            <w:bottom w:w="0" w:type="dxa"/>
            <w:right w:w="108" w:type="dxa"/>
          </w:tblCellMar>
        </w:tblPrEx>
        <w:trPr>
          <w:trHeight w:val="300" w:hRule="atLeast"/>
        </w:trPr>
        <w:tc>
          <w:tcPr>
            <w:tcW w:w="0" w:type="auto"/>
            <w:gridSpan w:val="18"/>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3.本表以“万元”为金额单位（保留两位小数）。</w:t>
            </w:r>
          </w:p>
        </w:tc>
      </w:tr>
    </w:tbl>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rPr>
          <w:rFonts w:ascii="宋体" w:hAnsi="宋体" w:cs="宋体"/>
          <w:color w:val="000000"/>
          <w:sz w:val="32"/>
          <w:szCs w:val="32"/>
        </w:rPr>
      </w:pPr>
      <w:r>
        <w:rPr>
          <w:rFonts w:hint="eastAsia" w:ascii="宋体" w:hAnsi="宋体" w:cs="宋体"/>
          <w:color w:val="000000"/>
          <w:sz w:val="32"/>
          <w:szCs w:val="32"/>
        </w:rPr>
        <w:t xml:space="preserve">   2018年度一般公共预算财政拨款“三公”经费支出决算表</w:t>
      </w:r>
    </w:p>
    <w:tbl>
      <w:tblPr>
        <w:tblStyle w:val="4"/>
        <w:tblW w:w="0" w:type="auto"/>
        <w:tblInd w:w="959" w:type="dxa"/>
        <w:tblLayout w:type="autofit"/>
        <w:tblCellMar>
          <w:top w:w="0" w:type="dxa"/>
          <w:left w:w="108" w:type="dxa"/>
          <w:bottom w:w="0" w:type="dxa"/>
          <w:right w:w="108" w:type="dxa"/>
        </w:tblCellMar>
      </w:tblPr>
      <w:tblGrid>
        <w:gridCol w:w="3260"/>
        <w:gridCol w:w="2835"/>
        <w:gridCol w:w="2390"/>
      </w:tblGrid>
      <w:tr>
        <w:tblPrEx>
          <w:tblCellMar>
            <w:top w:w="0" w:type="dxa"/>
            <w:left w:w="108" w:type="dxa"/>
            <w:bottom w:w="0" w:type="dxa"/>
            <w:right w:w="108" w:type="dxa"/>
          </w:tblCellMar>
        </w:tblPrEx>
        <w:trPr>
          <w:trHeight w:val="495" w:hRule="atLeast"/>
        </w:trPr>
        <w:tc>
          <w:tcPr>
            <w:tcW w:w="3260" w:type="dxa"/>
            <w:tcBorders>
              <w:top w:val="single" w:color="000000" w:sz="4" w:space="0"/>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b/>
                <w:bCs/>
                <w:sz w:val="24"/>
                <w:szCs w:val="24"/>
              </w:rPr>
            </w:pPr>
            <w:r>
              <w:rPr>
                <w:rFonts w:hint="eastAsia" w:ascii="宋体" w:hAnsi="宋体" w:eastAsia="宋体" w:cs="Arial"/>
                <w:b/>
                <w:bCs/>
                <w:sz w:val="24"/>
                <w:szCs w:val="24"/>
              </w:rPr>
              <w:t>项    目</w:t>
            </w:r>
          </w:p>
        </w:tc>
        <w:tc>
          <w:tcPr>
            <w:tcW w:w="2835" w:type="dxa"/>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b/>
                <w:bCs/>
                <w:sz w:val="24"/>
                <w:szCs w:val="24"/>
              </w:rPr>
            </w:pPr>
            <w:r>
              <w:rPr>
                <w:rFonts w:hint="eastAsia" w:ascii="宋体" w:hAnsi="宋体" w:eastAsia="宋体" w:cs="Arial"/>
                <w:b/>
                <w:bCs/>
                <w:sz w:val="24"/>
                <w:szCs w:val="24"/>
              </w:rPr>
              <w:t>2018年预算数</w:t>
            </w:r>
          </w:p>
        </w:tc>
        <w:tc>
          <w:tcPr>
            <w:tcW w:w="2390" w:type="dxa"/>
            <w:tcBorders>
              <w:top w:val="single" w:color="000000" w:sz="4" w:space="0"/>
              <w:left w:val="nil"/>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b/>
                <w:bCs/>
                <w:sz w:val="24"/>
                <w:szCs w:val="24"/>
              </w:rPr>
            </w:pPr>
            <w:r>
              <w:rPr>
                <w:rFonts w:hint="eastAsia" w:ascii="宋体" w:hAnsi="宋体" w:eastAsia="宋体" w:cs="Arial"/>
                <w:b/>
                <w:bCs/>
                <w:sz w:val="24"/>
                <w:szCs w:val="24"/>
              </w:rPr>
              <w:t>2018年决算数</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jc w:val="center"/>
              <w:rPr>
                <w:rFonts w:ascii="宋体" w:hAnsi="宋体" w:eastAsia="宋体" w:cs="Arial"/>
                <w:b/>
                <w:bCs/>
                <w:sz w:val="24"/>
                <w:szCs w:val="24"/>
              </w:rPr>
            </w:pPr>
            <w:r>
              <w:rPr>
                <w:rFonts w:hint="eastAsia" w:ascii="宋体" w:hAnsi="宋体" w:eastAsia="宋体" w:cs="Arial"/>
                <w:b/>
                <w:bCs/>
                <w:sz w:val="24"/>
                <w:szCs w:val="24"/>
              </w:rPr>
              <w:t>合    计</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4"/>
                <w:szCs w:val="24"/>
              </w:rPr>
            </w:pPr>
            <w:r>
              <w:rPr>
                <w:rFonts w:hint="eastAsia" w:ascii="宋体" w:hAnsi="宋体" w:eastAsia="宋体" w:cs="Arial"/>
                <w:b/>
                <w:bCs/>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b/>
                <w:bCs/>
                <w:sz w:val="24"/>
                <w:szCs w:val="24"/>
              </w:rPr>
            </w:pPr>
            <w:r>
              <w:rPr>
                <w:rFonts w:hint="eastAsia" w:ascii="宋体" w:hAnsi="宋体" w:eastAsia="宋体" w:cs="Arial"/>
                <w:b/>
                <w:bCs/>
                <w:sz w:val="24"/>
                <w:szCs w:val="24"/>
              </w:rPr>
              <w:t>　</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1、因公出国（境）费</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2、公务接待费</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3、公务用车购置及运行费</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其中: （1）公务用车运行维护费</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r>
      <w:tr>
        <w:tblPrEx>
          <w:tblCellMar>
            <w:top w:w="0" w:type="dxa"/>
            <w:left w:w="108" w:type="dxa"/>
            <w:bottom w:w="0" w:type="dxa"/>
            <w:right w:w="108" w:type="dxa"/>
          </w:tblCellMar>
        </w:tblPrEx>
        <w:trPr>
          <w:trHeight w:val="495" w:hRule="atLeast"/>
        </w:trPr>
        <w:tc>
          <w:tcPr>
            <w:tcW w:w="3260" w:type="dxa"/>
            <w:tcBorders>
              <w:top w:val="nil"/>
              <w:left w:val="single" w:color="000000" w:sz="4" w:space="0"/>
              <w:bottom w:val="single" w:color="000000" w:sz="4" w:space="0"/>
              <w:right w:val="single" w:color="000000" w:sz="4" w:space="0"/>
            </w:tcBorders>
            <w:shd w:val="clear" w:color="000000" w:fill="C0C0C0"/>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（2）公务用车购置费</w:t>
            </w:r>
          </w:p>
        </w:tc>
        <w:tc>
          <w:tcPr>
            <w:tcW w:w="2835"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c>
          <w:tcPr>
            <w:tcW w:w="2390" w:type="dxa"/>
            <w:tcBorders>
              <w:top w:val="nil"/>
              <w:left w:val="nil"/>
              <w:bottom w:val="single" w:color="000000" w:sz="4" w:space="0"/>
              <w:right w:val="single" w:color="000000" w:sz="4" w:space="0"/>
            </w:tcBorders>
            <w:shd w:val="clear" w:color="000000" w:fill="FFFFFF"/>
            <w:noWrap/>
            <w:vAlign w:val="center"/>
          </w:tcPr>
          <w:p>
            <w:pPr>
              <w:adjustRightInd/>
              <w:snapToGrid/>
              <w:spacing w:after="0"/>
              <w:jc w:val="right"/>
              <w:rPr>
                <w:rFonts w:ascii="宋体" w:hAnsi="宋体" w:eastAsia="宋体" w:cs="Arial"/>
                <w:sz w:val="24"/>
                <w:szCs w:val="24"/>
              </w:rPr>
            </w:pPr>
            <w:r>
              <w:rPr>
                <w:rFonts w:hint="eastAsia" w:ascii="宋体" w:hAnsi="宋体" w:eastAsia="宋体" w:cs="Arial"/>
                <w:sz w:val="24"/>
                <w:szCs w:val="24"/>
              </w:rPr>
              <w:t>　</w:t>
            </w:r>
          </w:p>
        </w:tc>
      </w:tr>
      <w:tr>
        <w:tblPrEx>
          <w:tblCellMar>
            <w:top w:w="0" w:type="dxa"/>
            <w:left w:w="108" w:type="dxa"/>
            <w:bottom w:w="0" w:type="dxa"/>
            <w:right w:w="108" w:type="dxa"/>
          </w:tblCellMar>
        </w:tblPrEx>
        <w:trPr>
          <w:trHeight w:val="300" w:hRule="atLeast"/>
        </w:trPr>
        <w:tc>
          <w:tcPr>
            <w:tcW w:w="8485" w:type="dxa"/>
            <w:gridSpan w:val="3"/>
            <w:tcBorders>
              <w:top w:val="nil"/>
              <w:left w:val="nil"/>
              <w:bottom w:val="nil"/>
              <w:right w:val="nil"/>
            </w:tcBorders>
            <w:shd w:val="clear" w:color="000000" w:fill="FFFFFF"/>
            <w:noWrap/>
            <w:vAlign w:val="center"/>
          </w:tcPr>
          <w:p>
            <w:pPr>
              <w:adjustRightInd/>
              <w:snapToGrid/>
              <w:spacing w:after="0"/>
              <w:rPr>
                <w:rFonts w:ascii="宋体" w:hAnsi="宋体" w:eastAsia="宋体" w:cs="Arial"/>
                <w:sz w:val="20"/>
                <w:szCs w:val="20"/>
              </w:rPr>
            </w:pPr>
            <w:r>
              <w:rPr>
                <w:rFonts w:hint="eastAsia" w:ascii="宋体" w:hAnsi="宋体" w:eastAsia="宋体" w:cs="Arial"/>
                <w:sz w:val="20"/>
                <w:szCs w:val="20"/>
              </w:rPr>
              <w:t xml:space="preserve"> 注：本表反映部门本年度财政专户管理资金收入支出及结转和结余情况。</w:t>
            </w:r>
          </w:p>
        </w:tc>
      </w:tr>
    </w:tbl>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360" w:lineRule="auto"/>
        <w:jc w:val="center"/>
        <w:rPr>
          <w:rFonts w:ascii="宋体" w:hAnsi="宋体"/>
          <w:b/>
          <w:sz w:val="36"/>
        </w:rPr>
      </w:pPr>
      <w:r>
        <w:rPr>
          <w:rFonts w:hint="eastAsia" w:ascii="宋体" w:hAnsi="宋体"/>
          <w:b/>
          <w:sz w:val="36"/>
        </w:rPr>
        <w:t>第三部分 本溪市明山区发展改革局2018年度</w:t>
      </w:r>
    </w:p>
    <w:p>
      <w:pPr>
        <w:spacing w:line="360" w:lineRule="auto"/>
        <w:jc w:val="center"/>
        <w:rPr>
          <w:rFonts w:eastAsia="Times New Roman"/>
          <w:b/>
          <w:sz w:val="36"/>
        </w:rPr>
      </w:pPr>
      <w:r>
        <w:rPr>
          <w:rFonts w:hint="eastAsia" w:ascii="宋体" w:hAnsi="宋体"/>
          <w:b/>
          <w:sz w:val="36"/>
        </w:rPr>
        <w:t>部门决算情况说明</w:t>
      </w:r>
    </w:p>
    <w:p>
      <w:pPr>
        <w:spacing w:line="360" w:lineRule="auto"/>
        <w:ind w:firstLine="627"/>
        <w:rPr>
          <w:rFonts w:eastAsiaTheme="minorEastAsia"/>
          <w:sz w:val="32"/>
        </w:rPr>
      </w:pPr>
      <w:r>
        <w:rPr>
          <w:rFonts w:hint="eastAsia" w:ascii="黑体" w:hAnsi="黑体" w:eastAsia="黑体"/>
          <w:sz w:val="32"/>
        </w:rPr>
        <w:t>一、收入支出决算总体情况</w:t>
      </w:r>
    </w:p>
    <w:p>
      <w:pPr>
        <w:spacing w:line="360" w:lineRule="auto"/>
        <w:ind w:firstLine="627"/>
        <w:rPr>
          <w:rFonts w:eastAsia="Times New Roman"/>
          <w:sz w:val="32"/>
        </w:rPr>
      </w:pPr>
      <w:r>
        <w:rPr>
          <w:rFonts w:hint="eastAsia" w:ascii="楷体_GB2312" w:hAnsi="楷体_GB2312" w:eastAsia="楷体_GB2312"/>
          <w:b/>
          <w:sz w:val="32"/>
        </w:rPr>
        <w:t>（一）收入总计</w:t>
      </w:r>
      <w:r>
        <w:rPr>
          <w:rFonts w:hint="eastAsia" w:ascii="仿宋_GB2312" w:hAnsi="仿宋_GB2312" w:eastAsia="仿宋_GB2312"/>
          <w:sz w:val="32"/>
        </w:rPr>
        <w:t>141.46</w:t>
      </w:r>
      <w:r>
        <w:rPr>
          <w:rFonts w:hint="eastAsia" w:ascii="楷体_GB2312" w:hAnsi="楷体_GB2312" w:eastAsia="楷体_GB2312"/>
          <w:b/>
          <w:sz w:val="32"/>
        </w:rPr>
        <w:t>万元，包括：</w:t>
      </w:r>
    </w:p>
    <w:p>
      <w:pPr>
        <w:spacing w:line="360" w:lineRule="auto"/>
        <w:ind w:firstLine="660"/>
        <w:rPr>
          <w:rFonts w:ascii="仿宋_GB2312" w:hAnsi="仿宋_GB2312" w:eastAsia="仿宋_GB2312"/>
          <w:sz w:val="32"/>
        </w:rPr>
      </w:pPr>
      <w:r>
        <w:rPr>
          <w:rFonts w:hint="eastAsia" w:ascii="仿宋_GB2312" w:hAnsi="仿宋_GB2312" w:eastAsia="仿宋_GB2312"/>
          <w:sz w:val="32"/>
        </w:rPr>
        <w:t>1.财政拨款收入141.46万元，其中：一般公共预算财政拨款收入141.46万元，无政府性基金预算财政拨款收入。</w:t>
      </w:r>
    </w:p>
    <w:p>
      <w:pPr>
        <w:spacing w:line="360" w:lineRule="auto"/>
        <w:ind w:firstLine="660"/>
        <w:rPr>
          <w:rFonts w:ascii="仿宋_GB2312" w:hAnsi="仿宋_GB2312" w:eastAsia="仿宋_GB2312"/>
          <w:sz w:val="32"/>
        </w:rPr>
      </w:pPr>
      <w:r>
        <w:rPr>
          <w:rFonts w:hint="eastAsia" w:ascii="仿宋_GB2312" w:hAnsi="仿宋_GB2312" w:eastAsia="仿宋_GB2312"/>
          <w:sz w:val="32"/>
        </w:rPr>
        <w:t>2.上级补助收入0万元。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3.事业收入0万元。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4.经营收入0万元。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5.附属单位上缴收入0万元。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6.其他收入0万元 。</w:t>
      </w:r>
    </w:p>
    <w:p>
      <w:pPr>
        <w:spacing w:line="360" w:lineRule="auto"/>
        <w:ind w:firstLine="660"/>
        <w:rPr>
          <w:rFonts w:ascii="仿宋_GB2312" w:hAnsi="仿宋_GB2312" w:eastAsia="仿宋_GB2312"/>
          <w:sz w:val="32"/>
        </w:rPr>
      </w:pPr>
      <w:r>
        <w:rPr>
          <w:rFonts w:hint="eastAsia" w:ascii="仿宋_GB2312" w:hAnsi="仿宋_GB2312" w:eastAsia="仿宋_GB2312"/>
          <w:sz w:val="32"/>
        </w:rPr>
        <w:t>7.用事业基金弥补收支差额0万元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8.上年结转和结余0.02万元。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与上年相比，今年收入减少31.5万元，降低18.21%，主要原因：人员调度，相对财政拨款收入减少。</w:t>
      </w:r>
    </w:p>
    <w:p>
      <w:pPr>
        <w:spacing w:line="360" w:lineRule="auto"/>
        <w:ind w:firstLine="660"/>
        <w:rPr>
          <w:rFonts w:eastAsia="Times New Roman"/>
          <w:sz w:val="32"/>
        </w:rPr>
      </w:pPr>
    </w:p>
    <w:p>
      <w:pPr>
        <w:spacing w:line="360" w:lineRule="auto"/>
        <w:ind w:firstLine="660"/>
        <w:rPr>
          <w:rFonts w:ascii="楷体_GB2312" w:hAnsi="楷体_GB2312" w:eastAsia="楷体_GB2312"/>
          <w:b/>
          <w:sz w:val="32"/>
        </w:rPr>
      </w:pPr>
    </w:p>
    <w:p>
      <w:pPr>
        <w:spacing w:line="360" w:lineRule="auto"/>
        <w:ind w:firstLine="660"/>
        <w:rPr>
          <w:rFonts w:eastAsia="Times New Roman"/>
          <w:b/>
          <w:sz w:val="32"/>
        </w:rPr>
      </w:pPr>
      <w:r>
        <w:rPr>
          <w:rFonts w:hint="eastAsia" w:ascii="楷体_GB2312" w:hAnsi="楷体_GB2312" w:eastAsia="楷体_GB2312"/>
          <w:b/>
          <w:sz w:val="32"/>
        </w:rPr>
        <w:t>（二）支出总计</w:t>
      </w:r>
      <w:r>
        <w:rPr>
          <w:rFonts w:hint="eastAsia" w:ascii="仿宋_GB2312" w:hAnsi="仿宋_GB2312" w:eastAsia="仿宋_GB2312"/>
          <w:sz w:val="32"/>
        </w:rPr>
        <w:t>141.46</w:t>
      </w:r>
      <w:r>
        <w:rPr>
          <w:rFonts w:hint="eastAsia" w:ascii="楷体_GB2312" w:hAnsi="楷体_GB2312" w:eastAsia="楷体_GB2312"/>
          <w:b/>
          <w:sz w:val="32"/>
        </w:rPr>
        <w:t>万元，包括：</w:t>
      </w:r>
    </w:p>
    <w:p>
      <w:pPr>
        <w:spacing w:line="360" w:lineRule="auto"/>
        <w:ind w:firstLine="660"/>
        <w:rPr>
          <w:rFonts w:eastAsia="Times New Roman"/>
          <w:sz w:val="32"/>
        </w:rPr>
      </w:pPr>
      <w:r>
        <w:rPr>
          <w:rFonts w:hint="eastAsia" w:ascii="仿宋_GB2312" w:hAnsi="仿宋_GB2312" w:eastAsia="仿宋_GB2312"/>
          <w:sz w:val="32"/>
        </w:rPr>
        <w:t>1.基本支出136.44万元，主要是为保障机构正常运转、完成日常工作任务而发生的各项支出，其中：工资福利支出</w:t>
      </w:r>
      <w:r>
        <w:rPr>
          <w:rFonts w:hint="eastAsia" w:ascii="仿宋_GB2312" w:hAnsi="仿宋_GB2312" w:eastAsia="仿宋_GB2312"/>
          <w:color w:val="000000"/>
          <w:sz w:val="32"/>
        </w:rPr>
        <w:t>123.39</w:t>
      </w:r>
      <w:r>
        <w:rPr>
          <w:rFonts w:hint="eastAsia" w:ascii="仿宋_GB2312" w:hAnsi="仿宋_GB2312" w:eastAsia="仿宋_GB2312"/>
          <w:sz w:val="32"/>
        </w:rPr>
        <w:t>万元，商品和服务支出</w:t>
      </w:r>
      <w:r>
        <w:rPr>
          <w:rFonts w:hint="eastAsia" w:ascii="仿宋_GB2312" w:hAnsi="仿宋_GB2312" w:eastAsia="仿宋_GB2312"/>
          <w:color w:val="000000"/>
          <w:sz w:val="32"/>
        </w:rPr>
        <w:t>13.06</w:t>
      </w:r>
      <w:r>
        <w:rPr>
          <w:rFonts w:hint="eastAsia" w:ascii="仿宋_GB2312" w:hAnsi="仿宋_GB2312" w:eastAsia="仿宋_GB2312"/>
          <w:sz w:val="32"/>
        </w:rPr>
        <w:t>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2.项目支出5.02万元。主要是项目物价管理项目支出。</w:t>
      </w:r>
    </w:p>
    <w:p>
      <w:pPr>
        <w:spacing w:line="360" w:lineRule="auto"/>
        <w:ind w:firstLine="660"/>
        <w:rPr>
          <w:rFonts w:ascii="仿宋_GB2312" w:hAnsi="仿宋_GB2312" w:eastAsia="仿宋_GB2312"/>
          <w:sz w:val="32"/>
        </w:rPr>
      </w:pPr>
      <w:r>
        <w:rPr>
          <w:rFonts w:hint="eastAsia" w:ascii="仿宋_GB2312" w:hAnsi="仿宋_GB2312" w:eastAsia="仿宋_GB2312"/>
          <w:sz w:val="32"/>
        </w:rPr>
        <w:t>3.上缴上级支出0万元。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4.经营支出0万元。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5.对附属单位补助支出0万元。</w:t>
      </w:r>
    </w:p>
    <w:p>
      <w:pPr>
        <w:spacing w:line="360" w:lineRule="auto"/>
        <w:ind w:firstLine="660"/>
        <w:rPr>
          <w:rFonts w:ascii="仿宋_GB2312" w:hAnsi="仿宋_GB2312" w:eastAsia="仿宋_GB2312"/>
          <w:sz w:val="32"/>
        </w:rPr>
      </w:pPr>
      <w:r>
        <w:rPr>
          <w:rFonts w:hint="eastAsia" w:ascii="仿宋_GB2312" w:hAnsi="仿宋_GB2312" w:eastAsia="仿宋_GB2312"/>
          <w:sz w:val="32"/>
        </w:rPr>
        <w:t>与上年相比，今年支出减少31.48万元，降低18.20%，主要原因：人员减少，相应行政运行费用减少。</w:t>
      </w:r>
    </w:p>
    <w:p>
      <w:pPr>
        <w:numPr>
          <w:ilvl w:val="0"/>
          <w:numId w:val="2"/>
        </w:numPr>
        <w:adjustRightInd/>
        <w:spacing w:after="0" w:line="360" w:lineRule="auto"/>
        <w:ind w:firstLine="660"/>
        <w:jc w:val="both"/>
        <w:rPr>
          <w:rFonts w:ascii="楷体_GB2312" w:hAnsi="楷体_GB2312" w:eastAsia="楷体_GB2312"/>
          <w:b/>
          <w:sz w:val="32"/>
        </w:rPr>
      </w:pPr>
      <w:r>
        <w:rPr>
          <w:rFonts w:hint="eastAsia" w:ascii="楷体_GB2312" w:hAnsi="楷体_GB2312" w:eastAsia="楷体_GB2312"/>
          <w:b/>
          <w:sz w:val="32"/>
        </w:rPr>
        <w:t>年末结转和结余0万元</w:t>
      </w:r>
    </w:p>
    <w:p>
      <w:pPr>
        <w:widowControl w:val="0"/>
        <w:autoSpaceDE w:val="0"/>
        <w:autoSpaceDN w:val="0"/>
        <w:spacing w:line="540" w:lineRule="exact"/>
        <w:ind w:firstLine="660"/>
        <w:rPr>
          <w:rFonts w:ascii="楷体_GB2312" w:hAnsi="楷体_GB2312" w:eastAsia="楷体_GB2312"/>
          <w:b/>
          <w:color w:val="000000" w:themeColor="text1"/>
          <w:sz w:val="32"/>
        </w:rPr>
      </w:pPr>
      <w:r>
        <w:rPr>
          <w:rFonts w:hint="eastAsia" w:ascii="仿宋_GB2312" w:hAnsi="仿宋_GB2312" w:eastAsia="仿宋_GB2312"/>
          <w:color w:val="000000" w:themeColor="text1"/>
          <w:sz w:val="32"/>
        </w:rPr>
        <w:t>与上年相比，今年年末结转和结余减少0.02万元。基本保持持平。</w:t>
      </w:r>
    </w:p>
    <w:p>
      <w:pPr>
        <w:spacing w:line="360" w:lineRule="auto"/>
        <w:ind w:firstLine="660"/>
        <w:rPr>
          <w:rFonts w:eastAsia="Times New Roman"/>
          <w:sz w:val="32"/>
        </w:rPr>
      </w:pPr>
      <w:r>
        <w:rPr>
          <w:rFonts w:hint="eastAsia" w:ascii="楷体_GB2312" w:hAnsi="楷体_GB2312" w:eastAsia="楷体_GB2312"/>
          <w:b/>
          <w:sz w:val="32"/>
        </w:rPr>
        <w:t xml:space="preserve"> </w:t>
      </w:r>
      <w:r>
        <w:rPr>
          <w:rFonts w:hint="eastAsia" w:ascii="黑体" w:hAnsi="黑体" w:eastAsia="黑体"/>
          <w:sz w:val="32"/>
        </w:rPr>
        <w:t>二、财政拨款支出决算情况</w:t>
      </w:r>
    </w:p>
    <w:p>
      <w:pPr>
        <w:spacing w:line="360" w:lineRule="auto"/>
        <w:ind w:firstLine="660"/>
        <w:rPr>
          <w:rFonts w:eastAsia="Times New Roman"/>
          <w:b/>
          <w:sz w:val="32"/>
        </w:rPr>
      </w:pPr>
      <w:r>
        <w:rPr>
          <w:rFonts w:hint="eastAsia" w:ascii="楷体_GB2312" w:hAnsi="楷体_GB2312" w:eastAsia="楷体_GB2312"/>
          <w:b/>
          <w:sz w:val="32"/>
        </w:rPr>
        <w:t>（一）总体情况</w:t>
      </w:r>
    </w:p>
    <w:p>
      <w:pPr>
        <w:spacing w:line="360" w:lineRule="auto"/>
        <w:ind w:firstLine="660"/>
        <w:rPr>
          <w:rFonts w:eastAsia="Times New Roman"/>
          <w:sz w:val="32"/>
        </w:rPr>
      </w:pPr>
      <w:r>
        <w:rPr>
          <w:rFonts w:hint="eastAsia" w:ascii="仿宋_GB2312" w:hAnsi="仿宋_GB2312" w:eastAsia="仿宋_GB2312"/>
          <w:sz w:val="32"/>
        </w:rPr>
        <w:t>财政拨款支出决算反映本溪市明山区发展改革局2018年整体财政拨款支出情况，既包括使用当年财政拨款发生的支出，也包括使用以前年度财政拨款结转和结余资金发生的支出。2018年度财政拨款支出141.46万元，其中：基本支出136.44万元，项目支出5.02万元。</w:t>
      </w:r>
    </w:p>
    <w:p>
      <w:pPr>
        <w:spacing w:line="360" w:lineRule="auto"/>
        <w:ind w:firstLine="660"/>
        <w:rPr>
          <w:rFonts w:eastAsia="Times New Roman"/>
          <w:b/>
          <w:sz w:val="32"/>
        </w:rPr>
      </w:pPr>
      <w:r>
        <w:rPr>
          <w:rFonts w:hint="eastAsia" w:ascii="楷体_GB2312" w:hAnsi="楷体_GB2312" w:eastAsia="楷体_GB2312"/>
          <w:b/>
          <w:sz w:val="32"/>
        </w:rPr>
        <w:t>（二）具体情况</w:t>
      </w:r>
    </w:p>
    <w:p>
      <w:pPr>
        <w:spacing w:line="360" w:lineRule="auto"/>
        <w:ind w:firstLine="660"/>
        <w:rPr>
          <w:rFonts w:ascii="仿宋_GB2312" w:hAnsi="仿宋_GB2312" w:eastAsia="仿宋_GB2312"/>
          <w:sz w:val="32"/>
        </w:rPr>
      </w:pPr>
      <w:r>
        <w:rPr>
          <w:rFonts w:hint="eastAsia" w:ascii="仿宋_GB2312" w:hAnsi="仿宋_GB2312" w:eastAsia="仿宋_GB2312"/>
          <w:sz w:val="32"/>
        </w:rPr>
        <w:t>2018年度财政拨款支出141.46万元，按支出功能分类科目分类，包括：一般公共服务支出132.83万元，住房保障支出8.63万元。</w:t>
      </w:r>
    </w:p>
    <w:p>
      <w:pPr>
        <w:numPr>
          <w:ilvl w:val="0"/>
          <w:numId w:val="3"/>
        </w:numPr>
        <w:adjustRightInd/>
        <w:spacing w:after="0" w:line="360" w:lineRule="auto"/>
        <w:ind w:firstLine="660"/>
        <w:jc w:val="both"/>
        <w:rPr>
          <w:rFonts w:ascii="仿宋_GB2312" w:hAnsi="仿宋_GB2312" w:eastAsia="仿宋_GB2312"/>
          <w:sz w:val="32"/>
        </w:rPr>
      </w:pPr>
      <w:r>
        <w:rPr>
          <w:rFonts w:hint="eastAsia" w:ascii="仿宋_GB2312" w:hAnsi="仿宋_GB2312" w:eastAsia="仿宋_GB2312"/>
          <w:sz w:val="32"/>
        </w:rPr>
        <w:t>一般公共服务支出132.83万元，包括：</w:t>
      </w:r>
    </w:p>
    <w:p>
      <w:pPr>
        <w:pStyle w:val="8"/>
        <w:numPr>
          <w:ilvl w:val="0"/>
          <w:numId w:val="4"/>
        </w:numPr>
        <w:adjustRightInd/>
        <w:spacing w:after="0" w:line="360" w:lineRule="auto"/>
        <w:ind w:firstLineChars="0"/>
        <w:jc w:val="both"/>
        <w:rPr>
          <w:rFonts w:ascii="仿宋_GB2312" w:hAnsi="仿宋_GB2312" w:eastAsia="仿宋_GB2312"/>
          <w:sz w:val="32"/>
        </w:rPr>
      </w:pPr>
      <w:r>
        <w:rPr>
          <w:rFonts w:hint="eastAsia" w:ascii="仿宋_GB2312" w:hAnsi="仿宋_GB2312" w:eastAsia="仿宋_GB2312"/>
          <w:sz w:val="32"/>
        </w:rPr>
        <w:t>发展与改革事务132.83万元，其中行政运行127.81万元，物价管理5.02万元。</w:t>
      </w:r>
    </w:p>
    <w:p>
      <w:pPr>
        <w:numPr>
          <w:ilvl w:val="0"/>
          <w:numId w:val="3"/>
        </w:numPr>
        <w:adjustRightInd/>
        <w:spacing w:after="0" w:line="360" w:lineRule="auto"/>
        <w:ind w:firstLine="660"/>
        <w:jc w:val="both"/>
        <w:rPr>
          <w:rFonts w:eastAsia="Times New Roman"/>
          <w:sz w:val="32"/>
        </w:rPr>
      </w:pPr>
      <w:r>
        <w:rPr>
          <w:rFonts w:hint="eastAsia" w:ascii="仿宋_GB2312" w:hAnsi="仿宋_GB2312" w:eastAsia="仿宋_GB2312"/>
          <w:sz w:val="32"/>
        </w:rPr>
        <w:t>住房保障支出8.63万元，包括：</w:t>
      </w:r>
    </w:p>
    <w:p>
      <w:pPr>
        <w:adjustRightInd/>
        <w:spacing w:after="0" w:line="360" w:lineRule="auto"/>
        <w:ind w:left="660"/>
        <w:jc w:val="both"/>
        <w:rPr>
          <w:rFonts w:eastAsia="Times New Roman"/>
          <w:sz w:val="32"/>
        </w:rPr>
      </w:pPr>
      <w:r>
        <w:rPr>
          <w:rFonts w:hint="eastAsia" w:ascii="仿宋_GB2312" w:hAnsi="仿宋_GB2312" w:eastAsia="仿宋_GB2312"/>
          <w:sz w:val="32"/>
        </w:rPr>
        <w:t>（1）住房改革支出8.63万元，主要是住房公积金。</w:t>
      </w:r>
    </w:p>
    <w:p>
      <w:pPr>
        <w:spacing w:line="360" w:lineRule="auto"/>
        <w:ind w:firstLine="660"/>
        <w:rPr>
          <w:rFonts w:eastAsia="Times New Roman"/>
          <w:sz w:val="32"/>
        </w:rPr>
      </w:pPr>
      <w:r>
        <w:rPr>
          <w:rFonts w:hint="eastAsia" w:ascii="黑体" w:hAnsi="黑体" w:eastAsia="黑体"/>
          <w:sz w:val="32"/>
        </w:rPr>
        <w:t>三、一般公共预算财政拨款</w:t>
      </w:r>
      <w:r>
        <w:rPr>
          <w:rFonts w:eastAsia="Times New Roman"/>
          <w:sz w:val="32"/>
        </w:rPr>
        <w:t>“</w:t>
      </w:r>
      <w:r>
        <w:rPr>
          <w:rFonts w:hint="eastAsia" w:ascii="黑体" w:hAnsi="黑体" w:eastAsia="黑体"/>
          <w:sz w:val="32"/>
        </w:rPr>
        <w:t>三公</w:t>
      </w:r>
      <w:r>
        <w:rPr>
          <w:rFonts w:eastAsia="Times New Roman"/>
          <w:sz w:val="32"/>
        </w:rPr>
        <w:t>”</w:t>
      </w:r>
      <w:r>
        <w:rPr>
          <w:rFonts w:hint="eastAsia" w:ascii="黑体" w:hAnsi="黑体" w:eastAsia="黑体"/>
          <w:sz w:val="32"/>
        </w:rPr>
        <w:t>经费支出决算情况</w:t>
      </w:r>
    </w:p>
    <w:p>
      <w:pPr>
        <w:widowControl w:val="0"/>
        <w:autoSpaceDE w:val="0"/>
        <w:autoSpaceDN w:val="0"/>
        <w:spacing w:line="540" w:lineRule="exact"/>
        <w:ind w:firstLine="645"/>
        <w:rPr>
          <w:rFonts w:eastAsia="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年度一般公共预算财政拨款安排的</w:t>
      </w:r>
      <w:r>
        <w:rPr>
          <w:rFonts w:eastAsia="Times New Roman"/>
          <w:sz w:val="32"/>
          <w:szCs w:val="32"/>
        </w:rPr>
        <w:t>“</w:t>
      </w:r>
      <w:r>
        <w:rPr>
          <w:rFonts w:hint="eastAsia" w:ascii="仿宋_GB2312" w:hAnsi="仿宋_GB2312" w:eastAsia="仿宋_GB2312" w:cs="仿宋_GB2312"/>
          <w:sz w:val="32"/>
          <w:szCs w:val="32"/>
        </w:rPr>
        <w:t>三公</w:t>
      </w:r>
      <w:r>
        <w:rPr>
          <w:rFonts w:eastAsia="Times New Roman"/>
          <w:sz w:val="32"/>
          <w:szCs w:val="32"/>
        </w:rPr>
        <w:t>”</w:t>
      </w:r>
      <w:r>
        <w:rPr>
          <w:rFonts w:hint="eastAsia" w:ascii="仿宋_GB2312" w:hAnsi="仿宋_GB2312" w:eastAsia="仿宋_GB2312" w:cs="仿宋_GB2312"/>
          <w:sz w:val="32"/>
          <w:szCs w:val="32"/>
        </w:rPr>
        <w:t>经费支出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万元，公务用车购置及运行维护费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w:t>
      </w:r>
      <w:r>
        <w:rPr>
          <w:rFonts w:eastAsia="Times New Roman"/>
          <w:sz w:val="32"/>
          <w:szCs w:val="32"/>
        </w:rPr>
        <w:t>“</w:t>
      </w:r>
      <w:r>
        <w:rPr>
          <w:rFonts w:hint="eastAsia" w:ascii="仿宋_GB2312" w:hAnsi="仿宋_GB2312" w:eastAsia="仿宋_GB2312" w:cs="仿宋_GB2312"/>
          <w:sz w:val="32"/>
          <w:szCs w:val="32"/>
        </w:rPr>
        <w:t>三公</w:t>
      </w:r>
      <w:r>
        <w:rPr>
          <w:rFonts w:eastAsia="Times New Roman"/>
          <w:sz w:val="32"/>
          <w:szCs w:val="32"/>
        </w:rPr>
        <w:t>”</w:t>
      </w:r>
      <w:r>
        <w:rPr>
          <w:rFonts w:hint="eastAsia" w:ascii="仿宋_GB2312" w:hAnsi="仿宋_GB2312" w:eastAsia="仿宋_GB2312" w:cs="仿宋_GB2312"/>
          <w:sz w:val="32"/>
          <w:szCs w:val="32"/>
        </w:rPr>
        <w:t>经费支出比</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年减少（增加）</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万元，下降（增长）</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widowControl w:val="0"/>
        <w:autoSpaceDE w:val="0"/>
        <w:autoSpaceDN w:val="0"/>
        <w:spacing w:line="540" w:lineRule="exact"/>
        <w:ind w:firstLine="645"/>
        <w:rPr>
          <w:rFonts w:eastAsia="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因公出国（境）费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2018</w:t>
      </w:r>
      <w:r>
        <w:rPr>
          <w:rFonts w:hint="eastAsia" w:ascii="仿宋_GB2312" w:hAnsi="仿宋_GB2312" w:eastAsia="仿宋_GB2312" w:cs="仿宋_GB2312"/>
          <w:sz w:val="32"/>
          <w:szCs w:val="32"/>
        </w:rPr>
        <w:t>年参加出国（境）团组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p>
    <w:p>
      <w:pPr>
        <w:widowControl w:val="0"/>
        <w:autoSpaceDE w:val="0"/>
        <w:autoSpaceDN w:val="0"/>
        <w:spacing w:line="540" w:lineRule="exact"/>
        <w:ind w:firstLine="645"/>
        <w:rPr>
          <w:rFonts w:eastAsia="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年国内公务接待累计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widowControl w:val="0"/>
        <w:autoSpaceDE w:val="0"/>
        <w:autoSpaceDN w:val="0"/>
        <w:spacing w:line="540" w:lineRule="exact"/>
        <w:ind w:firstLine="645"/>
        <w:rPr>
          <w:rFonts w:eastAsia="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公务用车购置及运行维护费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万元，其中：公务用车购置费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万元，公务用车运行维护费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年购置公务用车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辆，年末公务用车保有量</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spacing w:line="360" w:lineRule="auto"/>
        <w:ind w:firstLine="660"/>
        <w:rPr>
          <w:rFonts w:ascii="黑体" w:hAnsi="黑体" w:eastAsia="黑体"/>
          <w:sz w:val="32"/>
        </w:rPr>
      </w:pPr>
      <w:r>
        <w:rPr>
          <w:rFonts w:hint="eastAsia" w:ascii="黑体" w:hAnsi="黑体" w:eastAsia="黑体"/>
          <w:sz w:val="32"/>
        </w:rPr>
        <w:t>四、其他重要事项的情况说明</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（一）机关运行经费支出情况</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2018年本溪市明山区发展和改革局机关运行经费支出13.06万元，比2017年增加0.26万元，增加2%，主要原因是商品服务支出中办公费用相应增加。</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2018年度机关运行经费支出119.96万元。</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（二）政府采购支出情况</w:t>
      </w:r>
    </w:p>
    <w:p>
      <w:pPr>
        <w:widowControl w:val="0"/>
        <w:autoSpaceDE w:val="0"/>
        <w:autoSpaceDN w:val="0"/>
        <w:spacing w:line="540" w:lineRule="exact"/>
        <w:ind w:firstLine="660"/>
        <w:rPr>
          <w:rFonts w:ascii="仿宋_GB2312" w:hAnsi="仿宋_GB2312" w:eastAsia="仿宋_GB2312"/>
          <w:color w:val="0000FF"/>
          <w:sz w:val="32"/>
        </w:rPr>
      </w:pPr>
      <w:r>
        <w:rPr>
          <w:rFonts w:hint="eastAsia" w:ascii="仿宋_GB2312" w:hAnsi="仿宋_GB2312" w:eastAsia="仿宋_GB2312"/>
          <w:sz w:val="32"/>
        </w:rPr>
        <w:t xml:space="preserve"> 2018年明山区发展和改革局政府采购支出总额0万元，其中：政府采购货物支出0万元，政府采购工程支出0万元，政府采购服务支出0万元。授予中小企业合同金额0万元。</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（三）国有资产占用情况</w:t>
      </w:r>
    </w:p>
    <w:p>
      <w:pPr>
        <w:widowControl w:val="0"/>
        <w:autoSpaceDE w:val="0"/>
        <w:autoSpaceDN w:val="0"/>
        <w:spacing w:line="540" w:lineRule="exact"/>
        <w:ind w:firstLine="640"/>
        <w:rPr>
          <w:rFonts w:eastAsia="Times New Roman"/>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r>
        <w:rPr>
          <w:rFonts w:hint="eastAsia" w:ascii="仿宋_GB2312" w:hAnsi="仿宋_GB2312" w:eastAsia="仿宋_GB2312"/>
          <w:sz w:val="32"/>
        </w:rPr>
        <w:t>明山区发展和改革局</w:t>
      </w:r>
      <w:r>
        <w:rPr>
          <w:rFonts w:hint="eastAsia" w:ascii="仿宋_GB2312" w:hAnsi="仿宋_GB2312" w:eastAsia="仿宋_GB2312" w:cs="仿宋_GB2312"/>
          <w:sz w:val="32"/>
          <w:szCs w:val="32"/>
        </w:rPr>
        <w:t>共有车辆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辆，其中：副省级以上领导干部用车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辆，一般公务用车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辆，一般执法执勤用车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辆；单位价值</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万元以上大型设备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val="0"/>
        <w:autoSpaceDE w:val="0"/>
        <w:autoSpaceDN w:val="0"/>
        <w:spacing w:line="540" w:lineRule="exact"/>
        <w:ind w:firstLine="660"/>
        <w:rPr>
          <w:rFonts w:ascii="仿宋_GB2312" w:hAnsi="仿宋_GB2312" w:eastAsia="仿宋_GB2312"/>
          <w:sz w:val="32"/>
        </w:rPr>
      </w:pPr>
      <w:r>
        <w:rPr>
          <w:rFonts w:hint="eastAsia" w:ascii="仿宋_GB2312" w:hAnsi="仿宋_GB2312" w:eastAsia="仿宋_GB2312"/>
          <w:sz w:val="32"/>
        </w:rPr>
        <w:t>（四）预算绩效管理工作开展情况</w:t>
      </w:r>
    </w:p>
    <w:p>
      <w:pPr>
        <w:widowControl w:val="0"/>
        <w:autoSpaceDE w:val="0"/>
        <w:autoSpaceDN w:val="0"/>
        <w:ind w:firstLine="640"/>
        <w:rPr>
          <w:rFonts w:ascii="仿宋_GB2312" w:hAnsi="仿宋_GB2312" w:eastAsia="仿宋_GB2312"/>
          <w:sz w:val="32"/>
          <w:szCs w:val="24"/>
        </w:rPr>
      </w:pPr>
      <w:r>
        <w:rPr>
          <w:rFonts w:hint="eastAsia" w:ascii="仿宋_GB2312" w:hAnsi="仿宋_GB2312" w:eastAsia="仿宋_GB2312"/>
          <w:sz w:val="32"/>
          <w:szCs w:val="24"/>
        </w:rPr>
        <w:t>根据财政预算管理要求，对</w:t>
      </w:r>
      <w:r>
        <w:rPr>
          <w:rFonts w:ascii="仿宋_GB2312" w:hAnsi="仿宋_GB2312" w:eastAsia="仿宋_GB2312"/>
          <w:sz w:val="32"/>
          <w:szCs w:val="24"/>
        </w:rPr>
        <w:t>2018</w:t>
      </w:r>
      <w:r>
        <w:rPr>
          <w:rFonts w:hint="eastAsia" w:ascii="仿宋_GB2312" w:hAnsi="仿宋_GB2312" w:eastAsia="仿宋_GB2312"/>
          <w:sz w:val="32"/>
          <w:szCs w:val="24"/>
        </w:rPr>
        <w:t>年度预算项目支出全面开展绩效自评，共涉及预算支出项目</w:t>
      </w:r>
      <w:r>
        <w:rPr>
          <w:rFonts w:ascii="仿宋_GB2312" w:hAnsi="仿宋_GB2312" w:eastAsia="仿宋_GB2312"/>
          <w:sz w:val="32"/>
          <w:szCs w:val="24"/>
        </w:rPr>
        <w:t>0</w:t>
      </w:r>
      <w:r>
        <w:rPr>
          <w:rFonts w:hint="eastAsia" w:ascii="仿宋_GB2312" w:hAnsi="仿宋_GB2312" w:eastAsia="仿宋_GB2312"/>
          <w:sz w:val="32"/>
          <w:szCs w:val="24"/>
        </w:rPr>
        <w:t>个，涉及资金</w:t>
      </w:r>
      <w:r>
        <w:rPr>
          <w:rFonts w:ascii="仿宋_GB2312" w:hAnsi="仿宋_GB2312" w:eastAsia="仿宋_GB2312"/>
          <w:sz w:val="32"/>
          <w:szCs w:val="24"/>
        </w:rPr>
        <w:t>0</w:t>
      </w:r>
      <w:r>
        <w:rPr>
          <w:rFonts w:hint="eastAsia" w:ascii="仿宋_GB2312" w:hAnsi="仿宋_GB2312" w:eastAsia="仿宋_GB2312"/>
          <w:sz w:val="32"/>
          <w:szCs w:val="24"/>
        </w:rPr>
        <w:t>万元，自评覆盖率（开展绩效自评的项目数</w:t>
      </w:r>
      <w:r>
        <w:rPr>
          <w:rFonts w:ascii="仿宋_GB2312" w:hAnsi="仿宋_GB2312" w:eastAsia="仿宋_GB2312"/>
          <w:sz w:val="32"/>
          <w:szCs w:val="24"/>
        </w:rPr>
        <w:t>/</w:t>
      </w:r>
      <w:r>
        <w:rPr>
          <w:rFonts w:hint="eastAsia" w:ascii="仿宋_GB2312" w:hAnsi="仿宋_GB2312" w:eastAsia="仿宋_GB2312"/>
          <w:sz w:val="32"/>
          <w:szCs w:val="24"/>
        </w:rPr>
        <w:t>年初批复绩效目标的项目数）达到</w:t>
      </w:r>
      <w:r>
        <w:rPr>
          <w:rFonts w:ascii="仿宋_GB2312" w:hAnsi="仿宋_GB2312" w:eastAsia="仿宋_GB2312"/>
          <w:sz w:val="32"/>
          <w:szCs w:val="24"/>
        </w:rPr>
        <w:t>100%</w:t>
      </w:r>
      <w:r>
        <w:rPr>
          <w:rFonts w:hint="eastAsia" w:ascii="仿宋_GB2312" w:hAnsi="仿宋_GB2312" w:eastAsia="仿宋_GB2312"/>
          <w:sz w:val="32"/>
          <w:szCs w:val="24"/>
        </w:rPr>
        <w:t>，自评平均分（开展绩效自评的项目分数总和</w:t>
      </w:r>
      <w:r>
        <w:rPr>
          <w:rFonts w:ascii="仿宋_GB2312" w:hAnsi="仿宋_GB2312" w:eastAsia="仿宋_GB2312"/>
          <w:sz w:val="32"/>
          <w:szCs w:val="24"/>
        </w:rPr>
        <w:t>/</w:t>
      </w:r>
      <w:r>
        <w:rPr>
          <w:rFonts w:hint="eastAsia" w:ascii="仿宋_GB2312" w:hAnsi="仿宋_GB2312" w:eastAsia="仿宋_GB2312"/>
          <w:sz w:val="32"/>
          <w:szCs w:val="24"/>
        </w:rPr>
        <w:t>开展绩效自评的项目数）</w:t>
      </w:r>
      <w:r>
        <w:rPr>
          <w:rFonts w:ascii="仿宋_GB2312" w:hAnsi="仿宋_GB2312" w:eastAsia="仿宋_GB2312"/>
          <w:sz w:val="32"/>
          <w:szCs w:val="24"/>
        </w:rPr>
        <w:t>100</w:t>
      </w:r>
      <w:r>
        <w:rPr>
          <w:rFonts w:hint="eastAsia" w:ascii="仿宋_GB2312" w:hAnsi="仿宋_GB2312" w:eastAsia="仿宋_GB2312"/>
          <w:sz w:val="32"/>
          <w:szCs w:val="24"/>
        </w:rPr>
        <w:t>分。（</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年本单位年初</w:t>
      </w:r>
      <w:r>
        <w:rPr>
          <w:rFonts w:hint="eastAsia" w:ascii="仿宋_GB2312" w:hAnsi="仿宋_GB2312" w:eastAsia="仿宋_GB2312"/>
          <w:sz w:val="32"/>
          <w:szCs w:val="24"/>
        </w:rPr>
        <w:t>批复绩效目标的项目数为</w:t>
      </w:r>
      <w:r>
        <w:rPr>
          <w:rFonts w:ascii="仿宋_GB2312" w:hAnsi="仿宋_GB2312" w:eastAsia="仿宋_GB2312"/>
          <w:sz w:val="32"/>
          <w:szCs w:val="24"/>
        </w:rPr>
        <w:t>0</w:t>
      </w:r>
      <w:r>
        <w:rPr>
          <w:rFonts w:hint="eastAsia" w:ascii="仿宋_GB2312" w:hAnsi="仿宋_GB2312" w:eastAsia="仿宋_GB2312"/>
          <w:sz w:val="32"/>
          <w:szCs w:val="24"/>
        </w:rPr>
        <w:t>）</w:t>
      </w:r>
    </w:p>
    <w:p>
      <w:pPr>
        <w:widowControl w:val="0"/>
        <w:autoSpaceDE w:val="0"/>
        <w:autoSpaceDN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通过绩效自评发现预算项目管理主要存在以下问题：无。下一步将采取以下措施加以改进：无。</w:t>
      </w: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220" w:lineRule="atLeast"/>
        <w:jc w:val="center"/>
      </w:pPr>
    </w:p>
    <w:p>
      <w:pPr>
        <w:spacing w:line="360" w:lineRule="auto"/>
        <w:rPr>
          <w:rFonts w:ascii="宋体" w:hAnsi="宋体"/>
          <w:b/>
          <w:sz w:val="36"/>
        </w:rPr>
      </w:pPr>
    </w:p>
    <w:p>
      <w:pPr>
        <w:spacing w:line="360" w:lineRule="auto"/>
        <w:jc w:val="center"/>
        <w:rPr>
          <w:rFonts w:eastAsia="Times New Roman"/>
          <w:b/>
          <w:sz w:val="36"/>
        </w:rPr>
      </w:pPr>
      <w:r>
        <w:rPr>
          <w:rFonts w:hint="eastAsia" w:ascii="宋体" w:hAnsi="宋体"/>
          <w:b/>
          <w:sz w:val="36"/>
        </w:rPr>
        <w:t>第四部分 名词解释</w:t>
      </w:r>
    </w:p>
    <w:p>
      <w:pPr>
        <w:spacing w:line="360" w:lineRule="auto"/>
        <w:ind w:firstLine="642" w:firstLineChars="200"/>
        <w:rPr>
          <w:rFonts w:ascii="仿宋" w:hAnsi="仿宋" w:eastAsia="仿宋" w:cs="仿宋"/>
          <w:b/>
          <w:sz w:val="32"/>
          <w:szCs w:val="32"/>
        </w:rPr>
      </w:pPr>
    </w:p>
    <w:p>
      <w:pPr>
        <w:autoSpaceDE w:val="0"/>
        <w:autoSpaceDN w:val="0"/>
        <w:spacing w:line="540" w:lineRule="exact"/>
        <w:ind w:firstLine="642" w:firstLineChars="200"/>
        <w:rPr>
          <w:rFonts w:ascii="仿宋_GB2312" w:hAnsi="仿宋_GB2312" w:eastAsia="仿宋_GB2312"/>
          <w:sz w:val="32"/>
        </w:rPr>
      </w:pPr>
      <w:r>
        <w:rPr>
          <w:rFonts w:hint="eastAsia" w:ascii="仿宋_GB2312" w:hAnsi="仿宋_GB2312" w:eastAsia="仿宋_GB2312" w:cs="仿宋_GB2312"/>
          <w:b/>
          <w:bCs/>
          <w:sz w:val="32"/>
          <w:szCs w:val="32"/>
        </w:rPr>
        <w:t>1.财政拨款收入：</w:t>
      </w:r>
      <w:r>
        <w:rPr>
          <w:rFonts w:hint="eastAsia" w:ascii="仿宋_GB2312" w:hAnsi="仿宋_GB2312" w:eastAsia="仿宋_GB2312"/>
          <w:sz w:val="32"/>
        </w:rPr>
        <w:t>指省级财政当年拨付的资金。</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2.上级补助收入：</w:t>
      </w:r>
      <w:r>
        <w:rPr>
          <w:rFonts w:hint="eastAsia" w:ascii="仿宋_GB2312" w:hAnsi="仿宋_GB2312" w:eastAsia="仿宋_GB2312"/>
          <w:sz w:val="32"/>
        </w:rPr>
        <w:t>指单位从主管部门和上级单位取得的非财政性补助收入。</w:t>
      </w:r>
    </w:p>
    <w:p>
      <w:pPr>
        <w:autoSpaceDE w:val="0"/>
        <w:autoSpaceDN w:val="0"/>
        <w:spacing w:line="540" w:lineRule="exact"/>
        <w:ind w:firstLine="640"/>
        <w:rPr>
          <w:rFonts w:ascii="仿宋_GB2312" w:hAnsi="仿宋_GB2312" w:eastAsia="仿宋_GB2312"/>
          <w:sz w:val="32"/>
        </w:rPr>
      </w:pPr>
      <w:r>
        <w:rPr>
          <w:rFonts w:ascii="仿宋" w:hAnsi="仿宋" w:eastAsia="仿宋" w:cs="仿宋_GB2312"/>
          <w:b/>
          <w:bCs/>
          <w:sz w:val="32"/>
          <w:szCs w:val="32"/>
        </w:rPr>
        <w:t>3</w:t>
      </w:r>
      <w:r>
        <w:rPr>
          <w:rFonts w:hint="eastAsia" w:ascii="仿宋_GB2312" w:hAnsi="仿宋_GB2312" w:eastAsia="仿宋_GB2312" w:cs="仿宋_GB2312"/>
          <w:b/>
          <w:bCs/>
          <w:sz w:val="32"/>
          <w:szCs w:val="32"/>
        </w:rPr>
        <w:t>.事业收入：</w:t>
      </w:r>
      <w:r>
        <w:rPr>
          <w:rFonts w:hint="eastAsia" w:ascii="仿宋_GB2312" w:hAnsi="仿宋_GB2312" w:eastAsia="仿宋_GB2312"/>
          <w:sz w:val="32"/>
        </w:rPr>
        <w:t>指事业单位开展专业业务活动及辅助活动所取得的收入。</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4.经营收入</w:t>
      </w:r>
      <w:r>
        <w:rPr>
          <w:rFonts w:hint="eastAsia" w:ascii="仿宋" w:hAnsi="仿宋" w:eastAsia="仿宋" w:cs="仿宋_GB2312"/>
          <w:b/>
          <w:bCs/>
          <w:sz w:val="32"/>
          <w:szCs w:val="32"/>
        </w:rPr>
        <w:t>：</w:t>
      </w:r>
      <w:r>
        <w:rPr>
          <w:rFonts w:hint="eastAsia" w:ascii="仿宋_GB2312" w:hAnsi="仿宋_GB2312" w:eastAsia="仿宋_GB2312"/>
          <w:sz w:val="32"/>
        </w:rPr>
        <w:t>指事业单位在专业业务活动及辅助活动之外开展非独立核算经营活动取得的收入。</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5.附属单位上缴收入：</w:t>
      </w:r>
      <w:r>
        <w:rPr>
          <w:rFonts w:hint="eastAsia" w:ascii="仿宋_GB2312" w:hAnsi="仿宋_GB2312" w:eastAsia="仿宋_GB2312"/>
          <w:sz w:val="32"/>
        </w:rPr>
        <w:t>指单位附属的独立核算单位按照规定上缴的收入。</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6.其他收入：</w:t>
      </w:r>
      <w:r>
        <w:rPr>
          <w:rFonts w:hint="eastAsia" w:ascii="仿宋_GB2312" w:hAnsi="仿宋_GB2312" w:eastAsia="仿宋_GB2312"/>
          <w:sz w:val="32"/>
        </w:rPr>
        <w:t>指除上述“财政拨款收入”、 “上级补助收入”、“事业收入”、“经营收入”、“附属单位上缴收入”等以外的收入。</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7.用事业基金弥补收支差额：</w:t>
      </w:r>
      <w:r>
        <w:rPr>
          <w:rFonts w:hint="eastAsia" w:ascii="仿宋_GB2312" w:hAnsi="仿宋_GB2312" w:eastAsia="仿宋_GB2312"/>
          <w:sz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8.上年结转和结余：</w:t>
      </w:r>
      <w:r>
        <w:rPr>
          <w:rFonts w:hint="eastAsia" w:ascii="仿宋_GB2312" w:hAnsi="仿宋_GB2312" w:eastAsia="仿宋_GB2312"/>
          <w:sz w:val="32"/>
        </w:rPr>
        <w:t>指以前年度尚未完成、结转到本年按有关规定继续使用的资金。</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9.基本支出：</w:t>
      </w:r>
      <w:r>
        <w:rPr>
          <w:rFonts w:hint="eastAsia" w:ascii="仿宋_GB2312" w:hAnsi="仿宋_GB2312" w:eastAsia="仿宋_GB2312"/>
          <w:sz w:val="32"/>
        </w:rPr>
        <w:t>指保障机构正常运转、完成日常工作任务而发生的人员支出和公用支出。</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10.项目支出：</w:t>
      </w:r>
      <w:r>
        <w:rPr>
          <w:rFonts w:hint="eastAsia" w:ascii="仿宋_GB2312" w:hAnsi="仿宋_GB2312" w:eastAsia="仿宋_GB2312"/>
          <w:sz w:val="32"/>
        </w:rPr>
        <w:t>指在基本支出之外为完成特定行政任务和事业发展目标所发生的支出。</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11.上缴上级支出</w:t>
      </w:r>
      <w:r>
        <w:rPr>
          <w:rFonts w:hint="eastAsia" w:ascii="仿宋" w:hAnsi="仿宋" w:eastAsia="仿宋" w:cs="仿宋_GB2312"/>
          <w:b/>
          <w:bCs/>
          <w:sz w:val="32"/>
          <w:szCs w:val="32"/>
        </w:rPr>
        <w:t>：</w:t>
      </w:r>
      <w:r>
        <w:rPr>
          <w:rFonts w:hint="eastAsia" w:ascii="仿宋_GB2312" w:hAnsi="仿宋_GB2312" w:eastAsia="仿宋_GB2312"/>
          <w:sz w:val="32"/>
        </w:rPr>
        <w:t>指事业单位按照财政部门和主管部门的规定上缴上级单位的支出。</w:t>
      </w:r>
    </w:p>
    <w:p>
      <w:pPr>
        <w:autoSpaceDE w:val="0"/>
        <w:autoSpaceDN w:val="0"/>
        <w:spacing w:line="540" w:lineRule="exact"/>
        <w:ind w:firstLine="640"/>
        <w:rPr>
          <w:rFonts w:ascii="仿宋" w:hAnsi="仿宋" w:eastAsia="仿宋"/>
          <w:sz w:val="32"/>
          <w:szCs w:val="32"/>
        </w:rPr>
      </w:pPr>
      <w:r>
        <w:rPr>
          <w:rFonts w:hint="eastAsia" w:ascii="仿宋_GB2312" w:hAnsi="仿宋_GB2312" w:eastAsia="仿宋_GB2312" w:cs="仿宋_GB2312"/>
          <w:b/>
          <w:bCs/>
          <w:sz w:val="32"/>
          <w:szCs w:val="32"/>
        </w:rPr>
        <w:t>12.经营支出：</w:t>
      </w:r>
      <w:r>
        <w:rPr>
          <w:rFonts w:hint="eastAsia" w:ascii="仿宋_GB2312" w:hAnsi="仿宋_GB2312" w:eastAsia="仿宋_GB2312"/>
          <w:sz w:val="32"/>
        </w:rPr>
        <w:t>指事业单位在专业活动及辅助活动之外开展非独立核算经营活动发生的支出。</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13.对附属单位补助支出：</w:t>
      </w:r>
      <w:r>
        <w:rPr>
          <w:rFonts w:hint="eastAsia" w:ascii="仿宋_GB2312" w:hAnsi="仿宋_GB2312" w:eastAsia="仿宋_GB2312"/>
          <w:sz w:val="32"/>
        </w:rPr>
        <w:t>指事业单位用财政补助收入之外的收入对附属单位补助发生的支出。</w:t>
      </w:r>
    </w:p>
    <w:p>
      <w:pPr>
        <w:autoSpaceDE w:val="0"/>
        <w:autoSpaceDN w:val="0"/>
        <w:spacing w:line="540" w:lineRule="exact"/>
        <w:ind w:firstLine="640"/>
        <w:rPr>
          <w:rFonts w:ascii="仿宋_GB2312" w:hAnsi="仿宋_GB2312" w:eastAsia="仿宋_GB2312"/>
          <w:sz w:val="32"/>
        </w:rPr>
      </w:pPr>
      <w:r>
        <w:rPr>
          <w:rFonts w:hint="eastAsia" w:ascii="仿宋_GB2312" w:hAnsi="仿宋_GB2312" w:eastAsia="仿宋_GB2312" w:cs="仿宋_GB2312"/>
          <w:b/>
          <w:bCs/>
          <w:sz w:val="32"/>
          <w:szCs w:val="32"/>
        </w:rPr>
        <w:t>14.“三公”经费：</w:t>
      </w:r>
      <w:r>
        <w:rPr>
          <w:rFonts w:hint="eastAsia" w:ascii="仿宋_GB2312" w:hAnsi="仿宋_GB2312" w:eastAsia="仿宋_GB2312"/>
          <w:sz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rPr>
          <w:rFonts w:ascii="仿宋_GB2312" w:hAnsi="仿宋_GB2312" w:eastAsia="仿宋_GB2312"/>
          <w:b/>
          <w:sz w:val="32"/>
        </w:rPr>
      </w:pPr>
      <w:r>
        <w:rPr>
          <w:rFonts w:hint="eastAsia" w:ascii="仿宋" w:hAnsi="仿宋" w:eastAsia="仿宋" w:cs="仿宋"/>
          <w:b/>
          <w:sz w:val="32"/>
          <w:szCs w:val="32"/>
        </w:rPr>
        <w:t xml:space="preserve"> </w:t>
      </w:r>
    </w:p>
    <w:p>
      <w:pPr>
        <w:spacing w:line="220" w:lineRule="atLeast"/>
        <w:jc w:val="center"/>
      </w:pPr>
    </w:p>
    <w:sectPr>
      <w:pgSz w:w="11906" w:h="16838"/>
      <w:pgMar w:top="567" w:right="1134" w:bottom="144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08" w:usb3="00000000" w:csb0="0001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CF55C"/>
    <w:multiLevelType w:val="singleLevel"/>
    <w:tmpl w:val="942CF55C"/>
    <w:lvl w:ilvl="0" w:tentative="0">
      <w:start w:val="1"/>
      <w:numFmt w:val="decimal"/>
      <w:suff w:val="nothing"/>
      <w:lvlText w:val="%1、"/>
      <w:lvlJc w:val="left"/>
    </w:lvl>
  </w:abstractNum>
  <w:abstractNum w:abstractNumId="1">
    <w:nsid w:val="3704515E"/>
    <w:multiLevelType w:val="multilevel"/>
    <w:tmpl w:val="3704515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B996B5B"/>
    <w:multiLevelType w:val="singleLevel"/>
    <w:tmpl w:val="4B996B5B"/>
    <w:lvl w:ilvl="0" w:tentative="0">
      <w:start w:val="3"/>
      <w:numFmt w:val="chineseCounting"/>
      <w:suff w:val="nothing"/>
      <w:lvlText w:val="（%1）"/>
      <w:lvlJc w:val="left"/>
      <w:rPr>
        <w:rFonts w:hint="eastAsia"/>
      </w:rPr>
    </w:lvl>
  </w:abstractNum>
  <w:abstractNum w:abstractNumId="3">
    <w:nsid w:val="5097799D"/>
    <w:multiLevelType w:val="multilevel"/>
    <w:tmpl w:val="5097799D"/>
    <w:lvl w:ilvl="0" w:tentative="0">
      <w:start w:val="1"/>
      <w:numFmt w:val="decimal"/>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6D8C"/>
    <w:rsid w:val="001350BD"/>
    <w:rsid w:val="00142874"/>
    <w:rsid w:val="001A1312"/>
    <w:rsid w:val="001B4FA1"/>
    <w:rsid w:val="0028558A"/>
    <w:rsid w:val="002A6D07"/>
    <w:rsid w:val="002D6C5E"/>
    <w:rsid w:val="002F2CCE"/>
    <w:rsid w:val="00323B43"/>
    <w:rsid w:val="003244E5"/>
    <w:rsid w:val="00350750"/>
    <w:rsid w:val="003D37D8"/>
    <w:rsid w:val="00426133"/>
    <w:rsid w:val="0042757D"/>
    <w:rsid w:val="004358AB"/>
    <w:rsid w:val="00455208"/>
    <w:rsid w:val="0061553E"/>
    <w:rsid w:val="006A7006"/>
    <w:rsid w:val="006A729F"/>
    <w:rsid w:val="006C04F3"/>
    <w:rsid w:val="00740787"/>
    <w:rsid w:val="00743C39"/>
    <w:rsid w:val="00750E7D"/>
    <w:rsid w:val="00781F62"/>
    <w:rsid w:val="00786373"/>
    <w:rsid w:val="0081273D"/>
    <w:rsid w:val="0084707B"/>
    <w:rsid w:val="008B4C01"/>
    <w:rsid w:val="008B7726"/>
    <w:rsid w:val="008F19BC"/>
    <w:rsid w:val="009203FC"/>
    <w:rsid w:val="009956B3"/>
    <w:rsid w:val="00A0302E"/>
    <w:rsid w:val="00A373A9"/>
    <w:rsid w:val="00A475DF"/>
    <w:rsid w:val="00A5560B"/>
    <w:rsid w:val="00AC3329"/>
    <w:rsid w:val="00BF00F6"/>
    <w:rsid w:val="00C16805"/>
    <w:rsid w:val="00C27663"/>
    <w:rsid w:val="00C6197A"/>
    <w:rsid w:val="00C65CD8"/>
    <w:rsid w:val="00CB6F65"/>
    <w:rsid w:val="00CF7CD3"/>
    <w:rsid w:val="00D31D50"/>
    <w:rsid w:val="00E0180F"/>
    <w:rsid w:val="00E16970"/>
    <w:rsid w:val="00E64C1B"/>
    <w:rsid w:val="00F10792"/>
    <w:rsid w:val="4F6CF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1831</Words>
  <Characters>10437</Characters>
  <Lines>86</Lines>
  <Paragraphs>24</Paragraphs>
  <TotalTime>58</TotalTime>
  <ScaleCrop>false</ScaleCrop>
  <LinksUpToDate>false</LinksUpToDate>
  <CharactersWithSpaces>12244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2019-09-26T16:32:00Z</dcterms:created>
  <dc:creator>Administrator</dc:creator>
  <cp:lastModifiedBy>user</cp:lastModifiedBy>
  <cp:lastPrinted>2019-10-14T09:16:00Z</cp:lastPrinted>
  <dcterms:modified xsi:type="dcterms:W3CDTF">2024-10-22T14:31:52Z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