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区政协九届二次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会</w:t>
      </w:r>
      <w:r>
        <w:rPr>
          <w:rFonts w:hint="eastAsia" w:ascii="楷体_GB2312" w:hAnsi="楷体_GB2312" w:eastAsia="楷体_GB2312" w:cs="楷体_GB2312"/>
          <w:b/>
          <w:bCs w:val="0"/>
          <w:sz w:val="15"/>
          <w:szCs w:val="15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议</w:t>
      </w:r>
      <w:r>
        <w:rPr>
          <w:rFonts w:hint="eastAsia" w:ascii="楷体_GB2312" w:hAnsi="楷体_GB2312" w:eastAsia="楷体_GB2312" w:cs="楷体_GB2312"/>
          <w:b/>
          <w:bCs w:val="0"/>
          <w:sz w:val="15"/>
          <w:szCs w:val="15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材</w:t>
      </w:r>
      <w:r>
        <w:rPr>
          <w:rFonts w:hint="eastAsia" w:ascii="楷体_GB2312" w:hAnsi="楷体_GB2312" w:eastAsia="楷体_GB2312" w:cs="楷体_GB2312"/>
          <w:b/>
          <w:bCs w:val="0"/>
          <w:sz w:val="15"/>
          <w:szCs w:val="15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料（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ascii="宋体" w:hAnsi="宋体" w:cs="宋体"/>
          <w:b/>
          <w:sz w:val="44"/>
          <w:szCs w:val="44"/>
          <w:highlight w:val="none"/>
        </w:rPr>
        <w:t>关于明山区201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8</w:t>
      </w:r>
      <w:r>
        <w:rPr>
          <w:rFonts w:ascii="宋体" w:hAnsi="宋体" w:cs="宋体"/>
          <w:b/>
          <w:sz w:val="44"/>
          <w:szCs w:val="44"/>
          <w:highlight w:val="none"/>
        </w:rPr>
        <w:t>年预算执行情况和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ascii="宋体" w:hAnsi="宋体" w:cs="宋体"/>
          <w:b/>
          <w:sz w:val="44"/>
          <w:szCs w:val="44"/>
          <w:highlight w:val="none"/>
        </w:rPr>
        <w:t>201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9</w:t>
      </w:r>
      <w:r>
        <w:rPr>
          <w:rFonts w:ascii="宋体" w:hAnsi="宋体" w:cs="宋体"/>
          <w:b/>
          <w:sz w:val="44"/>
          <w:szCs w:val="44"/>
          <w:highlight w:val="none"/>
        </w:rPr>
        <w:t>年预算（草案）的报告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楷体_GB2312"/>
          <w:b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sz w:val="32"/>
          <w:szCs w:val="32"/>
          <w:highlight w:val="none"/>
        </w:rPr>
        <w:t>—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在</w:t>
      </w:r>
      <w:r>
        <w:rPr>
          <w:rFonts w:eastAsia="楷体_GB2312"/>
          <w:b/>
          <w:sz w:val="32"/>
          <w:szCs w:val="32"/>
          <w:highlight w:val="none"/>
        </w:rPr>
        <w:t>201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>8</w:t>
      </w:r>
      <w:r>
        <w:rPr>
          <w:rFonts w:eastAsia="楷体_GB2312"/>
          <w:b/>
          <w:sz w:val="32"/>
          <w:szCs w:val="32"/>
          <w:highlight w:val="none"/>
        </w:rPr>
        <w:t>年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>12</w:t>
      </w:r>
      <w:r>
        <w:rPr>
          <w:rFonts w:eastAsia="楷体_GB2312"/>
          <w:b/>
          <w:sz w:val="32"/>
          <w:szCs w:val="32"/>
          <w:highlight w:val="none"/>
        </w:rPr>
        <w:t>月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>19</w:t>
      </w:r>
      <w:r>
        <w:rPr>
          <w:rFonts w:eastAsia="楷体_GB2312"/>
          <w:b/>
          <w:sz w:val="32"/>
          <w:szCs w:val="32"/>
          <w:highlight w:val="none"/>
        </w:rPr>
        <w:t>日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明山区第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九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届人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民代表大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会第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center"/>
        <w:textAlignment w:val="auto"/>
        <w:outlineLvl w:val="9"/>
        <w:rPr>
          <w:rFonts w:hint="eastAsia" w:ascii="楷体_GB2312" w:hAnsi="楷体_GB2312" w:eastAsia="楷体_GB2312"/>
          <w:b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sz w:val="32"/>
          <w:szCs w:val="32"/>
          <w:highlight w:val="none"/>
        </w:rPr>
        <w:t xml:space="preserve">明山区财政局局长 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eastAsia="zh-CN"/>
        </w:rPr>
        <w:t>运洪升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各位代表</w:t>
      </w:r>
      <w:r>
        <w:rPr>
          <w:rFonts w:ascii="仿宋_GB2312" w:hAns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我受区人民政府的委托，向大会作关于明山区201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/>
          <w:sz w:val="32"/>
          <w:szCs w:val="32"/>
          <w:highlight w:val="none"/>
        </w:rPr>
        <w:t>年预算执行情况和201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/>
          <w:sz w:val="32"/>
          <w:szCs w:val="32"/>
          <w:highlight w:val="none"/>
        </w:rPr>
        <w:t>年预算（草案）的报告，请予审议，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并请区政协委员和列席会议的同志提出意见</w:t>
      </w:r>
      <w:r>
        <w:rPr>
          <w:rFonts w:ascii="仿宋_GB2312" w:hAns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一、关于201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</w:t>
      </w:r>
      <w:r>
        <w:rPr>
          <w:rFonts w:ascii="黑体" w:hAnsi="黑体" w:eastAsia="黑体" w:cs="黑体"/>
          <w:sz w:val="32"/>
          <w:szCs w:val="32"/>
          <w:highlight w:val="none"/>
        </w:rPr>
        <w:t>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年，在区委的坚强领导下，在区人大、区政协的监督支持下，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区人民政府以习近平新时代中国特色社会主义思想为指导，全面贯彻党的十九大和十九届二中、三中全会精神，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坚持稳中求进工作总基调，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贯彻新发展理念，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着力推进供给侧结构性改革，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全力以赴稳增长、促改革、调结构、惠民生、防风险，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推动全区经济社会平稳发展，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预算执行情况良好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9" w:firstLineChars="150"/>
        <w:textAlignment w:val="auto"/>
        <w:rPr>
          <w:rFonts w:ascii="楷体_GB2312" w:hAnsi="宋体" w:eastAsia="楷体_GB2312"/>
          <w:b/>
          <w:bCs/>
          <w:spacing w:val="6"/>
          <w:sz w:val="32"/>
          <w:szCs w:val="32"/>
          <w:highlight w:val="none"/>
        </w:rPr>
      </w:pPr>
      <w:r>
        <w:rPr>
          <w:rFonts w:hint="eastAsia" w:ascii="楷体_GB2312" w:hAnsi="宋体" w:eastAsia="楷体_GB2312" w:cs="楷体_GB2312"/>
          <w:b/>
          <w:bCs/>
          <w:spacing w:val="6"/>
          <w:sz w:val="32"/>
          <w:szCs w:val="32"/>
          <w:highlight w:val="none"/>
        </w:rPr>
        <w:t>（一）一般公共预算收支执行情况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9" w:firstLineChars="150"/>
        <w:textAlignment w:val="auto"/>
        <w:rPr>
          <w:rFonts w:ascii="仿宋_GB2312" w:hAnsi="宋体" w:eastAsia="仿宋_GB2312"/>
          <w:b/>
          <w:bCs/>
          <w:spacing w:val="6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b/>
          <w:bCs/>
          <w:spacing w:val="6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</w:rPr>
        <w:t>一般公共预算收入情况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届人民代表大会常务委员会第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</w:t>
      </w:r>
      <w:r>
        <w:rPr>
          <w:rFonts w:eastAsia="仿宋_GB2312"/>
          <w:color w:val="auto"/>
          <w:sz w:val="32"/>
          <w:szCs w:val="32"/>
          <w:highlight w:val="none"/>
        </w:rPr>
        <w:t>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年一般公共预算收入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54500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万元，预计到年底，一般公共预算收入完成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54500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4969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。其中：税收收入完成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44625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1946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；非税收入完成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9875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44.1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6" w:firstLineChars="200"/>
        <w:textAlignment w:val="auto"/>
        <w:rPr>
          <w:rFonts w:ascii="仿宋_GB2312" w:hAnsi="宋体" w:eastAsia="仿宋_GB2312"/>
          <w:b/>
          <w:bCs/>
          <w:color w:val="auto"/>
          <w:spacing w:val="6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届人民代表大会常务委员会第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2018年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70714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万元，预计到年底，财政支出完成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71801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11030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18.2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4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Cs/>
          <w:color w:val="auto"/>
          <w:spacing w:val="6"/>
          <w:sz w:val="32"/>
          <w:szCs w:val="32"/>
          <w:highlight w:val="none"/>
        </w:rPr>
        <w:t>主要支出项目预计完成情况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highlight w:val="none"/>
        </w:rPr>
        <w:t>：一般公共服务支出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highlight w:val="none"/>
          <w:lang w:val="en-US" w:eastAsia="zh-CN"/>
        </w:rPr>
        <w:t>11844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highlight w:val="none"/>
        </w:rPr>
        <w:t>%；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教育支出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10343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20.7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；科学技术支出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21.4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；文化体育与传媒支出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876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%；社会保障和就业支出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21610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115.4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；医疗卫生与计划生育支出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5652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13.6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%；节能环保支出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27.4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%；城乡社区事务支出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6250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296.3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%；农林水事务支出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3865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16.7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；交通运输支出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584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243.5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%；住房保障支出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8359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97.7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支出增长的科目主要是上级专项支出较大；支出下降的科目主要是上级专项支出减少；社会保障和就业支出增加主要是当年上解企业养老保险任务数增加。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6" w:firstLineChars="200"/>
        <w:textAlignment w:val="auto"/>
        <w:rPr>
          <w:rFonts w:ascii="楷体_GB2312" w:hAnsi="宋体"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楷体_GB2312"/>
          <w:b/>
          <w:bCs/>
          <w:color w:val="auto"/>
          <w:spacing w:val="6"/>
          <w:sz w:val="32"/>
          <w:szCs w:val="32"/>
          <w:highlight w:val="none"/>
        </w:rPr>
        <w:t>（二）</w:t>
      </w:r>
      <w:r>
        <w:rPr>
          <w:rFonts w:hint="eastAsia" w:ascii="楷体_GB2312" w:hAnsi="宋体" w:eastAsia="楷体_GB2312" w:cs="楷体_GB2312"/>
          <w:b/>
          <w:bCs/>
          <w:color w:val="auto"/>
          <w:sz w:val="32"/>
          <w:szCs w:val="32"/>
          <w:highlight w:val="none"/>
        </w:rPr>
        <w:t>政府性基金收支执行情况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届人民代表大会常务委员会第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年政府性基金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收入调整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1557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万元，预计到年底完成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1557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23019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93.7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%，主要是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当年没有土地出让，未形成土地出让收入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届人民代表大会常务委员会第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年政府性基金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支出调整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22072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万元，预计到年底完成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22950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1659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主要是当年预算执行中棚改专项债券形成支出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20000万元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6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楷体_GB2312"/>
          <w:b/>
          <w:bCs/>
          <w:color w:val="auto"/>
          <w:spacing w:val="6"/>
          <w:sz w:val="32"/>
          <w:szCs w:val="32"/>
          <w:highlight w:val="none"/>
        </w:rPr>
        <w:t>（三）社会保险基金收支执行情况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社会保险基金收入预算为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4376万元，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预计到年底完成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4376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3376万元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337.6%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经区第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次会议批准的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社会保险基金支出预算为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8290万元，预计到年底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8290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6680万元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414.9%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机关事业单位退休人员工资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今年全部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纳入社会保险基金预算管理。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6" w:firstLineChars="200"/>
        <w:textAlignment w:val="auto"/>
        <w:rPr>
          <w:rFonts w:ascii="楷体_GB2312" w:hAnsi="宋体" w:eastAsia="楷体_GB2312"/>
          <w:b/>
          <w:bCs/>
          <w:color w:val="auto"/>
          <w:spacing w:val="6"/>
          <w:sz w:val="32"/>
          <w:szCs w:val="32"/>
          <w:highlight w:val="none"/>
        </w:rPr>
      </w:pPr>
      <w:r>
        <w:rPr>
          <w:rFonts w:hint="eastAsia" w:ascii="楷体_GB2312" w:hAnsi="宋体" w:eastAsia="楷体_GB2312" w:cs="楷体_GB2312"/>
          <w:b/>
          <w:bCs/>
          <w:color w:val="auto"/>
          <w:spacing w:val="6"/>
          <w:sz w:val="32"/>
          <w:szCs w:val="32"/>
          <w:highlight w:val="none"/>
        </w:rPr>
        <w:t>（四）预算收支平衡情况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4" w:firstLineChars="200"/>
        <w:textAlignment w:val="auto"/>
        <w:rPr>
          <w:rFonts w:eastAsia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pacing w:val="6"/>
          <w:sz w:val="32"/>
          <w:szCs w:val="32"/>
          <w:highlight w:val="none"/>
        </w:rPr>
        <w:t>一般公共预算收支平衡情况：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预计到年底，一般公共预算收入完成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54500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万元，上划中央增值税、消费税返还收入及所得税基数返还收入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7090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万元，均衡性转移支付和县级基本财力保障机制补助收入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5049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万元，调整工资转移支付补助收入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1049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万元，税费改革转移支付补助收入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万元，其他一般性转移支付补助收入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4358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万元，上级专项补助收入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20677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万元，从政府性基金调入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万元，从预算稳定调节基金调入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1588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万元，收入总计为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95734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万元；一般公共预算支出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71801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万元，体制上解支出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12374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万元，专项上解支出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11559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万元，支出总计为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95734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万元；收支相抵，当年一般公共预算收支平衡。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4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pacing w:val="6"/>
          <w:sz w:val="32"/>
          <w:szCs w:val="32"/>
          <w:highlight w:val="none"/>
        </w:rPr>
        <w:t>政府性基金预算收支平衡情况：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预计到年底，政府性基金预算收入完成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1557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万元，上级专项补助收入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债务转贷收入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20000万元，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上年结余收入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1897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万元，收入总计为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23969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万元；政府性基金预算支出完成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22950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万元，调出到一般预算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万元，支出总计为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23969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万元，收支相抵，当年政府性基金收支平衡。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社会保险基金收支平衡情况：预计到年底，社会保险基金预算收入完成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4376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万元，财政补贴收入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3914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万元，收入总计为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8290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万元；社会保险基金预算支出完成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8290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万元，收支相抵，当年社会保险基金收支平衡。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6" w:firstLineChars="200"/>
        <w:textAlignment w:val="auto"/>
        <w:rPr>
          <w:rFonts w:hint="eastAsia" w:ascii="楷体_GB2312" w:hAnsi="宋体" w:eastAsia="楷体_GB2312" w:cs="楷体_GB2312"/>
          <w:b/>
          <w:bCs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楷体_GB2312" w:hAnsi="宋体" w:eastAsia="楷体_GB2312" w:cs="楷体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（五）政府债务情况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预计到年底，</w:t>
      </w: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</w:rPr>
        <w:t>地方政府性债务余额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33852.64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万元，</w:t>
      </w: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</w:rPr>
        <w:t>控制在省政府核定我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</w:rPr>
        <w:t>的政府债务限额之内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</w:rPr>
        <w:t>其中：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一般债务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6012.64万元，专项债务27840万元。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25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上述预算执行数字为预计完成情况，在决算编制汇总后，还会有所调整。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二、落实区人大预算决议情况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按照区第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eastAsia="仿宋_GB2312"/>
          <w:color w:val="auto"/>
          <w:sz w:val="32"/>
          <w:szCs w:val="32"/>
          <w:highlight w:val="none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color w:val="auto"/>
          <w:sz w:val="32"/>
          <w:szCs w:val="32"/>
          <w:highlight w:val="none"/>
        </w:rPr>
        <w:t>次会议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及相关常委会议有关</w:t>
      </w:r>
      <w:r>
        <w:rPr>
          <w:rFonts w:hint="eastAsia" w:eastAsia="仿宋_GB2312"/>
          <w:color w:val="auto"/>
          <w:sz w:val="32"/>
          <w:szCs w:val="32"/>
          <w:highlight w:val="none"/>
        </w:rPr>
        <w:t>预算决议的要求，全区财税部门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全面贯彻落实预算法，有效实施积极的财政政策，深化财税体制改革，严格规范预算管理，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坚持依法理财，坚持改革创新，坚持民生为先，努力提高收入质量，努力优化支出结构，充分发挥财政职能作用，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努力实现全区经济平稳健康发展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聚焦收入征管，财政收入稳步增长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 w:cs="Times New Roman"/>
          <w:b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Times New Roman"/>
          <w:b/>
          <w:sz w:val="32"/>
          <w:szCs w:val="32"/>
          <w:highlight w:val="none"/>
          <w:lang w:eastAsia="zh-CN"/>
        </w:rPr>
        <w:t>强化税收征管</w:t>
      </w:r>
      <w:r>
        <w:rPr>
          <w:rFonts w:ascii="仿宋_GB2312" w:hAnsi="仿宋_GB2312" w:eastAsia="仿宋_GB2312" w:cs="Times New Roman"/>
          <w:b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密切关注经济形势，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明确财政部门责任，积极参与部门协作，加强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重点税源监控，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深入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营改增改革分析，提高税源预测准确率，牢牢把握收入主动权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为精准征收奠定基础，确保小税种应收尽收。</w:t>
      </w:r>
      <w:r>
        <w:rPr>
          <w:rFonts w:ascii="仿宋_GB2312" w:hAnsi="仿宋_GB2312" w:eastAsia="仿宋_GB2312" w:cs="Times New Roman"/>
          <w:b/>
          <w:bCs w:val="0"/>
          <w:sz w:val="32"/>
          <w:szCs w:val="32"/>
          <w:highlight w:val="none"/>
        </w:rPr>
        <w:t>二是加大欠税清理力度。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根据制定的《明山区进一步加强税源建设专项工作方案》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多部门协调配合，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</w:rPr>
        <w:t>科学制定清欠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税款工作计划和措施，规范流程建立机制，下大力气做好欠税清缴工作，保障税收增长</w:t>
      </w:r>
      <w:r>
        <w:rPr>
          <w:rFonts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全</w:t>
      </w:r>
      <w:r>
        <w:rPr>
          <w:rFonts w:ascii="仿宋_GB2312" w:hAnsi="仿宋_GB2312" w:eastAsia="仿宋_GB2312"/>
          <w:sz w:val="32"/>
          <w:szCs w:val="32"/>
          <w:highlight w:val="none"/>
        </w:rPr>
        <w:t>年清欠税款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6800</w:t>
      </w:r>
      <w:r>
        <w:rPr>
          <w:rFonts w:ascii="仿宋_GB2312" w:hAns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/>
          <w:b/>
          <w:sz w:val="32"/>
          <w:szCs w:val="32"/>
          <w:highlight w:val="none"/>
        </w:rPr>
        <w:t>三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是强化非税收入征管。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增强非税收入征管理念，创新非税收入征管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Times New Roman"/>
          <w:b w:val="0"/>
          <w:bCs/>
          <w:sz w:val="32"/>
          <w:szCs w:val="32"/>
          <w:highlight w:val="none"/>
          <w:lang w:eastAsia="zh-CN"/>
        </w:rPr>
        <w:t>，规范非税收入征管程序，保证非税收入及时足额入库。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深化财政票据电子化改革，完善票据管理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同时，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加强对国有资产有偿使用收入、行政事业性收费和政府性基金收支的管理，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加大对闲置资产的处置力度，形成非税收入入库，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努力增加区级可用财力。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聚焦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优化支出，各项事业有序开展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  <w:lang w:val="en-US"/>
        </w:rPr>
      </w:pPr>
      <w:r>
        <w:rPr>
          <w:rFonts w:ascii="仿宋_GB2312" w:hAnsi="仿宋_GB2312" w:eastAsia="仿宋_GB2312"/>
          <w:b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/>
          <w:b/>
          <w:sz w:val="32"/>
          <w:szCs w:val="32"/>
          <w:highlight w:val="none"/>
          <w:lang w:eastAsia="zh-CN"/>
        </w:rPr>
        <w:t>多措并举严控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支出。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highlight w:val="none"/>
        </w:rPr>
        <w:t>进一步加强预算统筹，深度整合财政资金，强化预算刚性约束，严格预算追加管理，认真贯彻落实财政部关于压减一般性支出工作要求，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努力降低行政运行成本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/>
          <w:b/>
          <w:sz w:val="32"/>
          <w:szCs w:val="32"/>
          <w:highlight w:val="none"/>
        </w:rPr>
        <w:t>着力保障民生支出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根据量入为出尽力而为的原则，兜住民生支出底线。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全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年农林水事务安排资金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3865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万元，用于投入农村基础设施建设，落实强农惠农政策支持农村扶贫开发；教育安排资金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10343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万元，改善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师资力量、教学环境、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教学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设施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，支持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义务教育均衡发展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；医疗卫生安排资金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5652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万元，不断提升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基层医疗服务能力和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基本公共卫生服务水平；社会保障安排资金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21610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万元，完成区级养老保险承担的任务，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搞好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失地农民保障及社保补助资金的发放。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三是加大财政统筹力度。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盘活存量资金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的要求，严格对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单位财政存量资金情况进行全面检查，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统一收回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统筹使用，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建立长效机制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进行管理。全年收回存量资金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2824万元。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聚焦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制度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改革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，财政管理不断规范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sz w:val="32"/>
          <w:szCs w:val="32"/>
          <w:highlight w:val="none"/>
        </w:rPr>
        <w:t>一是</w:t>
      </w:r>
      <w:r>
        <w:rPr>
          <w:rFonts w:hint="eastAsia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推进财政体制改革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。开展区本级与街道办事处财政管理体制改革工作，制定相关政策，细化工作措施，积极推进街道办事处工作重心向经济发展方向转变。预计全年各街道办事处共完成全年任务目标的113.6%，同比增长30%。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二是</w:t>
      </w:r>
      <w:r>
        <w:rPr>
          <w:rFonts w:hint="eastAsia" w:eastAsia="仿宋_GB2312"/>
          <w:b/>
          <w:bCs w:val="0"/>
          <w:sz w:val="32"/>
          <w:szCs w:val="30"/>
          <w:highlight w:val="none"/>
          <w:lang w:eastAsia="zh-CN"/>
        </w:rPr>
        <w:t>推进</w:t>
      </w:r>
      <w:r>
        <w:rPr>
          <w:rFonts w:eastAsia="仿宋_GB2312"/>
          <w:b/>
          <w:bCs w:val="0"/>
          <w:sz w:val="32"/>
          <w:szCs w:val="30"/>
          <w:highlight w:val="none"/>
        </w:rPr>
        <w:t>预算管理改革</w:t>
      </w:r>
      <w:r>
        <w:rPr>
          <w:rFonts w:eastAsia="仿宋_GB2312"/>
          <w:bCs/>
          <w:sz w:val="32"/>
          <w:szCs w:val="30"/>
          <w:highlight w:val="none"/>
        </w:rPr>
        <w:t>。坚决落实党中央、国务院决策部署，扎实推进预算管理和</w:t>
      </w:r>
      <w:r>
        <w:rPr>
          <w:rFonts w:hint="eastAsia" w:eastAsia="仿宋_GB2312"/>
          <w:bCs/>
          <w:sz w:val="32"/>
          <w:szCs w:val="30"/>
          <w:highlight w:val="none"/>
          <w:lang w:eastAsia="zh-CN"/>
        </w:rPr>
        <w:t>全面绩效管理改革</w:t>
      </w:r>
      <w:r>
        <w:rPr>
          <w:rFonts w:eastAsia="仿宋_GB2312"/>
          <w:bCs/>
          <w:sz w:val="32"/>
          <w:szCs w:val="30"/>
          <w:highlight w:val="none"/>
        </w:rPr>
        <w:t>工作，预算执行管理不断加强，资金使用效益不断提高。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进一步完善国库集中支付运行机制，有效防止财政资金运用过程中的“跑、冒、滴、漏”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三是规范政府采购</w:t>
      </w:r>
      <w:r>
        <w:rPr>
          <w:rFonts w:hint="eastAsia" w:ascii="仿宋_GB2312" w:hAnsi="仿宋_GB2312" w:eastAsia="仿宋_GB2312"/>
          <w:b/>
          <w:sz w:val="32"/>
          <w:szCs w:val="32"/>
          <w:highlight w:val="none"/>
          <w:lang w:eastAsia="zh-CN"/>
        </w:rPr>
        <w:t>行为</w:t>
      </w:r>
      <w:r>
        <w:rPr>
          <w:rFonts w:ascii="仿宋_GB2312" w:hAnsi="仿宋_GB2312" w:eastAsia="仿宋_GB2312"/>
          <w:b/>
          <w:sz w:val="32"/>
          <w:szCs w:val="32"/>
          <w:highlight w:val="none"/>
        </w:rPr>
        <w:t>。</w:t>
      </w:r>
      <w:r>
        <w:rPr>
          <w:rFonts w:ascii="仿宋_GB2312" w:hAnsi="仿宋_GB2312" w:eastAsia="仿宋_GB2312"/>
          <w:sz w:val="32"/>
          <w:szCs w:val="32"/>
          <w:highlight w:val="none"/>
        </w:rPr>
        <w:t>认真贯彻落实《政府采购法》，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坚持底线思维和问题导向，创新政府采购管理手段，有效防范舞弊和预防腐败，提升政府采购活动的组织管理水平和财政资金使用效益，提高政府采购公信力。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各位代表，201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/>
          <w:sz w:val="32"/>
          <w:szCs w:val="32"/>
          <w:highlight w:val="none"/>
        </w:rPr>
        <w:t>年我区财政收支态势总体平稳，但还存在一些不容忽视的困难和问题：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经济下行和结构性减税政策的实施，财政增收困难进一步加大，而“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保”支出及供给侧结构性改革等刚性支出需求增长较快，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债务还本付息压力较大，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收支矛盾比较突出；部门预算编制有待精准，预算绩效评价有待提高等，</w:t>
      </w:r>
      <w:r>
        <w:rPr>
          <w:rFonts w:ascii="仿宋_GB2312" w:hAnsi="仿宋_GB2312" w:eastAsia="仿宋_GB2312"/>
          <w:sz w:val="32"/>
          <w:szCs w:val="32"/>
          <w:highlight w:val="none"/>
        </w:rPr>
        <w:t>这些问题我们将高度重视，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采取积极有效措施，认真加以解决。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三、201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</w:t>
      </w:r>
      <w:r>
        <w:rPr>
          <w:rFonts w:ascii="黑体" w:hAnsi="黑体" w:eastAsia="黑体" w:cs="黑体"/>
          <w:sz w:val="32"/>
          <w:szCs w:val="32"/>
          <w:highlight w:val="none"/>
        </w:rPr>
        <w:t>年预算草案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是全面贯彻落实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“十三五”规划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关键之年。</w:t>
      </w:r>
      <w:r>
        <w:rPr>
          <w:rFonts w:ascii="仿宋_GB2312" w:hAnsi="仿宋_GB2312" w:eastAsia="仿宋_GB2312"/>
          <w:sz w:val="32"/>
          <w:szCs w:val="32"/>
          <w:highlight w:val="none"/>
        </w:rPr>
        <w:t>我们将认真贯彻落实党的十九大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和十九届二中、三中全会</w:t>
      </w:r>
      <w:r>
        <w:rPr>
          <w:rFonts w:ascii="仿宋_GB2312" w:hAnsi="仿宋_GB2312" w:eastAsia="仿宋_GB2312"/>
          <w:sz w:val="32"/>
          <w:szCs w:val="32"/>
          <w:highlight w:val="none"/>
        </w:rPr>
        <w:t>精神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和习近平总书记在深入</w:t>
      </w:r>
      <w:r>
        <w:rPr>
          <w:rFonts w:ascii="仿宋_GB2312" w:hAnsi="仿宋_GB2312" w:eastAsia="仿宋_GB2312"/>
          <w:sz w:val="32"/>
          <w:szCs w:val="32"/>
          <w:highlight w:val="none"/>
        </w:rPr>
        <w:t>推进东北振兴座谈会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的重要讲话精神</w:t>
      </w:r>
      <w:r>
        <w:rPr>
          <w:rFonts w:ascii="仿宋_GB2312" w:hAns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以创新发展和提高经济效益为中心，认真落实积极财政政策，完善预算管理，加大征收力度，优化支出结构，强化民生托底，加强资金统筹，规范财务管理，促进经济社会持续健康发展。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根据上述指导思想，我区201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/>
          <w:sz w:val="32"/>
          <w:szCs w:val="32"/>
          <w:highlight w:val="none"/>
        </w:rPr>
        <w:t>年收支预算（草案）安排情况如下：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150"/>
        <w:textAlignment w:val="auto"/>
        <w:rPr>
          <w:rFonts w:hint="eastAsia" w:ascii="楷体_GB2312" w:hAnsi="仿宋_GB2312" w:eastAsia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/>
          <w:b/>
          <w:bCs w:val="0"/>
          <w:sz w:val="32"/>
          <w:szCs w:val="32"/>
          <w:highlight w:val="none"/>
        </w:rPr>
        <w:t>（一）一般公共预算收支安排情况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197"/>
        <w:textAlignment w:val="auto"/>
        <w:rPr>
          <w:rFonts w:ascii="仿宋_GB2312" w:hAnsi="仿宋_GB2312" w:eastAsia="仿宋_GB2312"/>
          <w:b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/>
          <w:b/>
          <w:sz w:val="32"/>
          <w:szCs w:val="32"/>
          <w:highlight w:val="none"/>
        </w:rPr>
        <w:t>一般公共预算收入安排情况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一般公共预算收入安排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59950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万元，比上年预计完成增长10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。其中：税收收入安排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50435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万元，比上年预计完成增长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；非税收入安排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9515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万元，比上年预计完成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3.6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ascii="仿宋_GB2312" w:hAnsi="仿宋_GB2312" w:eastAsia="仿宋_GB2312"/>
          <w:b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highlight w:val="none"/>
        </w:rPr>
        <w:t>一般公共预算支出安排情况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一般公共预算支出安排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52032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由于目前上级财政尚未下达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2019年专项转移支付提前告知数，因此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比上年预计完成下降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27.5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但按可比口径计算，比上年预算安排一般公共预算支出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48790万元增加3242万元，增长6.6%。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主要支出项目安排情况：一般公共服务支出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10209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公共安全支出242万元；教育支出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10343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万元；科学技术支出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万元；文化体育与传媒支出617万元；社会保障和就业支出22131万元；医疗卫生与计划生育支出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2197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万元；节能环保支出239万元；城乡社区事务支出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1512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万元；农林水事务支出2039万元；交通运输支出101万元；预备费安排600万元。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楷体_GB2312" w:hAnsi="仿宋_GB2312"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楷体_GB2312" w:hAnsi="仿宋_GB2312" w:eastAsia="楷体_GB2312"/>
          <w:b/>
          <w:bCs/>
          <w:color w:val="auto"/>
          <w:sz w:val="32"/>
          <w:szCs w:val="32"/>
          <w:highlight w:val="none"/>
        </w:rPr>
        <w:t>（二）政府性基金预算收支安排情况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全年政府性基金预算收入安排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万元，政府性基金预算支出安排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22017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0"/>
        <w:textAlignment w:val="auto"/>
        <w:rPr>
          <w:rFonts w:hint="eastAsia" w:ascii="楷体_GB2312" w:hAnsi="仿宋_GB2312" w:eastAsia="楷体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仿宋_GB2312" w:eastAsia="楷体_GB2312"/>
          <w:b/>
          <w:bCs w:val="0"/>
          <w:color w:val="auto"/>
          <w:sz w:val="32"/>
          <w:szCs w:val="32"/>
          <w:highlight w:val="none"/>
        </w:rPr>
        <w:t>（三）社会保险基金预算收支安排情况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全年社会保险基金预算收入安排4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76万元，社会保险基金预算支出安排8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90万元。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仿宋_GB2312" w:eastAsia="楷体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仿宋_GB2312" w:eastAsia="楷体_GB2312"/>
          <w:b/>
          <w:bCs w:val="0"/>
          <w:color w:val="auto"/>
          <w:sz w:val="32"/>
          <w:szCs w:val="32"/>
          <w:highlight w:val="none"/>
        </w:rPr>
        <w:t>（四）预算收支平衡情况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一般公共预算收支平衡情况：全年一般公共预算收入安排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59950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万元，上级财政补助收入16015万元，收入总计为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75965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万元；一般公共预算支出安排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52032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万元，体制上解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13008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万元，专项上解支出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10925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万元，支出总计为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75965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万元，收支相抵，当年一般公共预算收支平衡。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政府性基金预算收支平衡情况：全年政府性基金预算收入安排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万元；政府性基金预算支出安排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22017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债务还本支出安排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7983万元，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收支相抵，当年政府性基金收支平衡。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社会保险基金预算收支平衡情况：全年社会保险基金预算收入安排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4576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万元，财政补贴收入3390万元，上级财政补助收入524万元，收入总计为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8490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万元；社会保险基金预算支出安排8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90万元，收支相抵，当年社会保险基金预算收支平衡。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四、确保完成201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</w:t>
      </w:r>
      <w:r>
        <w:rPr>
          <w:rFonts w:ascii="黑体" w:hAnsi="黑体" w:eastAsia="黑体" w:cs="黑体"/>
          <w:sz w:val="32"/>
          <w:szCs w:val="32"/>
          <w:highlight w:val="none"/>
        </w:rPr>
        <w:t>年预算任务的主要工作措施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/>
          <w:sz w:val="32"/>
          <w:szCs w:val="32"/>
          <w:highlight w:val="none"/>
        </w:rPr>
        <w:t>年，我们将认真贯彻落实区委的决策部署和人大有关决议要求，扎实有效推进财政各项工作，确保完成全年各项预算任务。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加强收入征管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，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确保完成目标任务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一是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支持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实体经济发展</w:t>
      </w:r>
      <w:r>
        <w:rPr>
          <w:rFonts w:hint="eastAsia" w:eastAsia="仿宋_GB2312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充分发挥财政资金的引导作用，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做好存量企业的经济运行，积极向上争取项目资金和扶持政策，有效解决重点项目建设扶持资金。</w:t>
      </w:r>
      <w:r>
        <w:rPr>
          <w:rFonts w:hint="eastAsia" w:ascii="仿宋_GB2312" w:eastAsia="仿宋_GB2312"/>
          <w:sz w:val="32"/>
          <w:szCs w:val="32"/>
          <w:highlight w:val="none"/>
        </w:rPr>
        <w:t>以培育壮大新动能为重点，激发创新驱动内生动力。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鼓励企业</w:t>
      </w:r>
      <w:r>
        <w:rPr>
          <w:rFonts w:hint="eastAsia" w:ascii="仿宋_GB2312" w:eastAsia="仿宋_GB2312"/>
          <w:sz w:val="32"/>
          <w:szCs w:val="32"/>
          <w:highlight w:val="none"/>
        </w:rPr>
        <w:t>依靠创新把实体经济做实、做强、做优，坚持凤凰涅槃、腾笼换鸟，积极扶持新兴产业加快发展，尽快形成多点支撑、多业并举、多元发展的产业发展格局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培育税源型企业。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积极加强税收征管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与税务部门积极配合，加大税款征收力度。针对重点行业税款清欠及重点税种清查开展专项行动。确定工作目标，提高思想认识。以堵塞税收漏洞、提升税收征管质效为目标，通过深入细致摸排，提出税收征管存在的问题并加以改进，做到行业分布清、税源底数明。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三是强化收入统筹力度。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税务和非税执收部门分头落实任务目标，做好各项税收、非税和政府性基金收入的分析调度，全力挖掘增收潜力。加大非税收入和政府性基金统筹力度，土地出让净收益全部调入一般预算。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  <w:t>（二）加强支出管理，有效监管财政资金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2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是严控财政预算支出。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保障顺序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支出，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  <w:lang w:val="zh-CN"/>
        </w:rPr>
        <w:t>严格执行经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区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  <w:lang w:val="zh-CN"/>
        </w:rPr>
        <w:t>人大审议批准的年度财政预算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zh-CN"/>
        </w:rPr>
        <w:t>，无预算不支出，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  <w:lang w:val="zh-CN"/>
        </w:rPr>
        <w:t>增强预算严肃性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zh-CN"/>
        </w:rPr>
        <w:t>。严格控制一般性支出，切实压缩运行成本。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二是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lang w:eastAsia="zh-CN"/>
        </w:rPr>
        <w:t>加强财政资金监管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完善涵盖收支预算执行、结转结余、资金调度等方面的闭环管理模式。建立财政部门与银行联动机制，对预算单位银行账户和结存资金开展动态监控。</w:t>
      </w: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</w:rPr>
        <w:t>三是提高资金运行效率</w:t>
      </w:r>
      <w:r>
        <w:rPr>
          <w:rFonts w:ascii="仿宋_GB2312" w:hAnsi="仿宋" w:eastAsia="仿宋_GB2312"/>
          <w:b/>
          <w:bCs w:val="0"/>
          <w:sz w:val="32"/>
          <w:szCs w:val="32"/>
          <w:highlight w:val="none"/>
        </w:rPr>
        <w:t>。</w:t>
      </w:r>
      <w:r>
        <w:rPr>
          <w:rFonts w:ascii="仿宋_GB2312" w:hAnsi="仿宋" w:eastAsia="仿宋_GB2312"/>
          <w:sz w:val="32"/>
          <w:szCs w:val="32"/>
          <w:highlight w:val="none"/>
        </w:rPr>
        <w:t>积极建立财政存量资金与预算安排相结合的机制，</w:t>
      </w:r>
      <w:r>
        <w:rPr>
          <w:rFonts w:ascii="仿宋_GB2312" w:hAnsi="仿宋" w:eastAsia="仿宋_GB2312"/>
          <w:bCs/>
          <w:sz w:val="32"/>
          <w:szCs w:val="32"/>
          <w:highlight w:val="none"/>
        </w:rPr>
        <w:t>加快安排使用财政存量资金，避免出现和形成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“</w:t>
      </w:r>
      <w:r>
        <w:rPr>
          <w:rFonts w:ascii="仿宋_GB2312" w:hAnsi="仿宋" w:eastAsia="仿宋_GB2312"/>
          <w:bCs/>
          <w:sz w:val="32"/>
          <w:szCs w:val="32"/>
          <w:highlight w:val="none"/>
        </w:rPr>
        <w:t>二次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”</w:t>
      </w:r>
      <w:r>
        <w:rPr>
          <w:rFonts w:ascii="仿宋_GB2312" w:hAnsi="仿宋" w:eastAsia="仿宋_GB2312"/>
          <w:bCs/>
          <w:sz w:val="32"/>
          <w:szCs w:val="32"/>
          <w:highlight w:val="none"/>
        </w:rPr>
        <w:t>沉淀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。</w:t>
      </w:r>
      <w:r>
        <w:rPr>
          <w:rFonts w:ascii="仿宋_GB2312" w:hAnsi="仿宋" w:eastAsia="仿宋_GB2312"/>
          <w:bCs/>
          <w:sz w:val="32"/>
          <w:szCs w:val="32"/>
          <w:highlight w:val="none"/>
        </w:rPr>
        <w:t>对超过规定时间未能执行的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财政</w:t>
      </w:r>
      <w:r>
        <w:rPr>
          <w:rFonts w:ascii="仿宋_GB2312" w:hAnsi="仿宋" w:eastAsia="仿宋_GB2312"/>
          <w:bCs/>
          <w:sz w:val="32"/>
          <w:szCs w:val="32"/>
          <w:highlight w:val="none"/>
        </w:rPr>
        <w:t>资金，一律依规收回统筹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用于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重点支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出。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强化政府投资类项目管理。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highlight w:val="none"/>
          <w:lang w:eastAsia="zh-CN"/>
        </w:rPr>
        <w:t>坚持“尽力而为、量力而行”的原则，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继续加强对政府投资类项目的管理，对项目实行项目库管理，按重要程度进行排序，视财力情况从项目库中选取项目进行实施。加强政府采购管理工作，大力提倡集约采购，降低行政运行成本，节约财政资金。多渠道筹措资金用于重点项目建设和偿还工程欠款，有效缓解财政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三）加强债务管理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</w:rPr>
        <w:t>，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妥善降低财政风险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" w:eastAsia="仿宋_GB2312"/>
          <w:b/>
          <w:bCs w:val="0"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eastAsia="zh-CN"/>
        </w:rPr>
        <w:t>债务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监管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树立债务举借的底线意识和风险意识，依法依规在债务限额内举借债务。建立债务档案，确定偿债主体。坚决防止违法违规融资担保行为。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eastAsia="zh-CN"/>
        </w:rPr>
        <w:t>二是有效还本付息。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明确各单位化债职责，政府债务的承接部门必须认真执行偿债计划，按时上缴债务本息，避免政府失信风险。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eastAsia="zh-CN"/>
        </w:rPr>
        <w:t>三是落实偿债资金。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多渠道筹措资金，加大土地出让力度和闲置资产处置进度，形成有效资金用于偿还到期债务本息。通过置换债券等方式，腾出有效债务限额空间。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val="en-US" w:eastAsia="zh-CN"/>
        </w:rPr>
        <w:t>推进制度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eastAsia="zh-CN"/>
        </w:rPr>
        <w:t>改革，</w:t>
      </w:r>
      <w:r>
        <w:rPr>
          <w:rFonts w:hint="eastAsia" w:ascii="楷体_GB2312" w:hAnsi="楷体_GB2312" w:eastAsia="楷体_GB2312"/>
          <w:b/>
          <w:bCs w:val="0"/>
          <w:sz w:val="32"/>
          <w:szCs w:val="32"/>
          <w:highlight w:val="none"/>
          <w:lang w:val="en-US" w:eastAsia="zh-CN"/>
        </w:rPr>
        <w:t>全面提升理财能力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" w:eastAsia="仿宋_GB2312"/>
          <w:b/>
          <w:bCs w:val="0"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统筹管理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强化全口径预算管理，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建立完善成熟的财政资金统筹使用机制，将所有预算资金纳入财政部门统一管理，确保财政资金优化配置。严格执行预算单位资金请示审批制度，规范审批程序。</w:t>
      </w: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eastAsia="zh-CN"/>
        </w:rPr>
        <w:t>二是建立资产报告制度。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认真落实党中央关于国有资产的重大决策部署，依法向区人大常委会进行资产情况汇报，推动和规范国有资产管理，提高国有资产管理的公开透明度。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推进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会计制度改革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实行政府会计制度，全面提高政府会计信息质量，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准确反映政府运行成本，规范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资金使用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行为、提高政府决策能力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四是健全预算绩效体系。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根据《中共中央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国务院关于全面实施预算绩效管理的意见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》要求及省、市有关工作部署，加强绩效目标管理，推进目标管理和绩效评价全覆盖，使绩效跟踪与部门内控相结合，确保财政预算资金安全、有效运行。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2" w:firstLineChars="200"/>
        <w:textAlignment w:val="auto"/>
        <w:outlineLvl w:val="9"/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val="en-US" w:eastAsia="zh-CN"/>
        </w:rPr>
        <w:t>关注区域发展</w:t>
      </w: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楷体_GB2312" w:hAnsi="仿宋" w:eastAsia="楷体_GB2312"/>
          <w:b/>
          <w:bCs w:val="0"/>
          <w:sz w:val="32"/>
          <w:szCs w:val="32"/>
          <w:highlight w:val="none"/>
          <w:lang w:val="en-US" w:eastAsia="zh-CN"/>
        </w:rPr>
        <w:t>推动重点工作开展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一是全力助推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乡村振兴。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将财政资金重点用于支持深化农村综合改革，健全完善农业社会化服务体系和乡村治理体系，加快推进公共服务资源配置和基础设施建设，支持美丽乡村建设，积极整合幸福花海、欢喜柿园、那家菜地、荷塘月色等周边旅游资源，打造田园综合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二是聚焦优化营商环境。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认真落实国家“减税降费”政策，逐步将一些应由政府提供的公共服务，由原来面向社会收费改由财政给予保障；结合实施明山区优化营商环境行动方案，继续清理涉企收费，进一步落实降低社会保险费率政策措施，有效减轻企业负担，大力降低实体经济成本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三是支持民生事业发展。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落实各项环保政策，打好污染防治攻坚战，改善农村环境面貌。深入推进扶贫攻坚工作，实现扶贫资金动态管理，防止已脱贫人口返贫。持续优化办学条件，优化教育资源配置，促进教育均衡发展。切实加强城乡低保、医疗救助、临时救助、特困人员供养等规范化管理，确保各项补贴补助按时足额发放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" w:firstLine="640" w:firstLineChars="200"/>
        <w:textAlignment w:val="auto"/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</w:pPr>
      <w:r>
        <w:rPr>
          <w:rFonts w:hint="eastAsia" w:eastAsia="仿宋_GB2312"/>
          <w:kern w:val="1"/>
          <w:sz w:val="32"/>
          <w:szCs w:val="30"/>
          <w:highlight w:val="none"/>
        </w:rPr>
        <w:t>各位代表</w:t>
      </w:r>
      <w:r>
        <w:rPr>
          <w:rFonts w:eastAsia="仿宋_GB2312"/>
          <w:kern w:val="1"/>
          <w:sz w:val="32"/>
          <w:szCs w:val="30"/>
          <w:highlight w:val="none"/>
        </w:rPr>
        <w:t>，</w:t>
      </w:r>
      <w:r>
        <w:rPr>
          <w:rFonts w:hint="eastAsia" w:eastAsia="仿宋_GB2312"/>
          <w:kern w:val="1"/>
          <w:sz w:val="32"/>
          <w:szCs w:val="30"/>
          <w:highlight w:val="none"/>
        </w:rPr>
        <w:t>做好</w:t>
      </w:r>
      <w:r>
        <w:rPr>
          <w:rFonts w:eastAsia="仿宋_GB2312"/>
          <w:kern w:val="1"/>
          <w:sz w:val="32"/>
          <w:szCs w:val="30"/>
          <w:highlight w:val="none"/>
        </w:rPr>
        <w:t>201</w:t>
      </w:r>
      <w:r>
        <w:rPr>
          <w:rFonts w:hint="eastAsia" w:eastAsia="仿宋_GB2312"/>
          <w:kern w:val="1"/>
          <w:sz w:val="32"/>
          <w:szCs w:val="30"/>
          <w:highlight w:val="none"/>
          <w:lang w:val="en-US" w:eastAsia="zh-CN"/>
        </w:rPr>
        <w:t>9</w:t>
      </w:r>
      <w:r>
        <w:rPr>
          <w:rFonts w:eastAsia="仿宋_GB2312"/>
          <w:kern w:val="1"/>
          <w:sz w:val="32"/>
          <w:szCs w:val="30"/>
          <w:highlight w:val="none"/>
        </w:rPr>
        <w:t>年的财政工作任务艰巨</w:t>
      </w:r>
      <w:r>
        <w:rPr>
          <w:rFonts w:hint="eastAsia" w:eastAsia="仿宋_GB2312"/>
          <w:kern w:val="1"/>
          <w:sz w:val="32"/>
          <w:szCs w:val="30"/>
          <w:highlight w:val="none"/>
        </w:rPr>
        <w:t>、</w:t>
      </w:r>
      <w:r>
        <w:rPr>
          <w:rFonts w:eastAsia="仿宋_GB2312"/>
          <w:kern w:val="1"/>
          <w:sz w:val="32"/>
          <w:szCs w:val="30"/>
          <w:highlight w:val="none"/>
        </w:rPr>
        <w:t>责任重大。我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将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在区委的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坚强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领导下，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自觉接受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区人大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、区政协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的监督指导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，不忘初心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牢记使命</w:t>
      </w:r>
      <w:r>
        <w:rPr>
          <w:rFonts w:hint="eastAsia" w:ascii="仿宋_GB2312" w:hAnsi="仿宋_GB2312" w:eastAsia="仿宋_GB2312" w:cs="宋体"/>
          <w:kern w:val="1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攻坚克难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锐意进取</w:t>
      </w:r>
      <w:r>
        <w:rPr>
          <w:rFonts w:eastAsia="仿宋_GB2312"/>
          <w:sz w:val="32"/>
          <w:szCs w:val="32"/>
          <w:highlight w:val="none"/>
        </w:rPr>
        <w:t>，扎实工作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，勇于担当，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推动财税工作再上新水平，为实现明山经济社会新发展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出新的更大贡献</w:t>
      </w:r>
      <w:r>
        <w:rPr>
          <w:rFonts w:ascii="仿宋_GB2312" w:hAnsi="仿宋_GB2312" w:eastAsia="仿宋_GB2312" w:cs="仿宋_GB2312"/>
          <w:kern w:val="1"/>
          <w:sz w:val="32"/>
          <w:szCs w:val="32"/>
          <w:highlight w:val="none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B592"/>
    <w:multiLevelType w:val="singleLevel"/>
    <w:tmpl w:val="59F6B59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146C"/>
    <w:rsid w:val="00CB3229"/>
    <w:rsid w:val="062E6184"/>
    <w:rsid w:val="081C4428"/>
    <w:rsid w:val="08C33EC8"/>
    <w:rsid w:val="09437E5E"/>
    <w:rsid w:val="094B6A95"/>
    <w:rsid w:val="0AEA442E"/>
    <w:rsid w:val="0C8444F1"/>
    <w:rsid w:val="0FF62BA1"/>
    <w:rsid w:val="10033F65"/>
    <w:rsid w:val="1119112D"/>
    <w:rsid w:val="1220774C"/>
    <w:rsid w:val="1BD83D90"/>
    <w:rsid w:val="1DBEE09B"/>
    <w:rsid w:val="1DF06C46"/>
    <w:rsid w:val="203A197C"/>
    <w:rsid w:val="25544DB4"/>
    <w:rsid w:val="280478F9"/>
    <w:rsid w:val="2C092CA3"/>
    <w:rsid w:val="2C976AEA"/>
    <w:rsid w:val="300B4D0C"/>
    <w:rsid w:val="333A795A"/>
    <w:rsid w:val="34662DC7"/>
    <w:rsid w:val="35A033AE"/>
    <w:rsid w:val="369A51D6"/>
    <w:rsid w:val="3F401128"/>
    <w:rsid w:val="45AC052C"/>
    <w:rsid w:val="4BE618DD"/>
    <w:rsid w:val="52C54241"/>
    <w:rsid w:val="5CE818ED"/>
    <w:rsid w:val="5DDF3126"/>
    <w:rsid w:val="5E1F5A65"/>
    <w:rsid w:val="5FF96EC0"/>
    <w:rsid w:val="63404890"/>
    <w:rsid w:val="67DD56C4"/>
    <w:rsid w:val="696A5101"/>
    <w:rsid w:val="69C950A6"/>
    <w:rsid w:val="6D535020"/>
    <w:rsid w:val="6D981770"/>
    <w:rsid w:val="76AA1308"/>
    <w:rsid w:val="7BBB3EA5"/>
    <w:rsid w:val="7C4574CE"/>
    <w:rsid w:val="7F7E7A92"/>
    <w:rsid w:val="7F9C146C"/>
    <w:rsid w:val="FE1D4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默认段落字体 Para Char Char Char Char"/>
    <w:basedOn w:val="1"/>
    <w:link w:val="7"/>
    <w:qFormat/>
    <w:uiPriority w:val="0"/>
  </w:style>
  <w:style w:type="character" w:styleId="9">
    <w:name w:val="Strong"/>
    <w:basedOn w:val="7"/>
    <w:qFormat/>
    <w:uiPriority w:val="0"/>
    <w:rPr>
      <w:b/>
    </w:rPr>
  </w:style>
  <w:style w:type="character" w:styleId="10">
    <w:name w:val="FollowedHyperlink"/>
    <w:basedOn w:val="7"/>
    <w:qFormat/>
    <w:uiPriority w:val="0"/>
    <w:rPr>
      <w:color w:val="252525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252525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5">
    <w:name w:val="hover"/>
    <w:basedOn w:val="7"/>
    <w:qFormat/>
    <w:uiPriority w:val="0"/>
    <w:rPr>
      <w:color w:val="000000"/>
      <w:shd w:val="clear" w:fill="FFFFFF"/>
    </w:rPr>
  </w:style>
  <w:style w:type="character" w:customStyle="1" w:styleId="16">
    <w:name w:val="wx-space"/>
    <w:basedOn w:val="7"/>
    <w:qFormat/>
    <w:uiPriority w:val="0"/>
  </w:style>
  <w:style w:type="character" w:customStyle="1" w:styleId="17">
    <w:name w:val="wx-space1"/>
    <w:basedOn w:val="7"/>
    <w:qFormat/>
    <w:uiPriority w:val="0"/>
  </w:style>
  <w:style w:type="character" w:customStyle="1" w:styleId="18">
    <w:name w:val="hover3"/>
    <w:basedOn w:val="7"/>
    <w:qFormat/>
    <w:uiPriority w:val="0"/>
    <w:rPr>
      <w:color w:val="000000"/>
      <w:shd w:val="clear" w:fill="FFFFFF"/>
    </w:rPr>
  </w:style>
  <w:style w:type="character" w:customStyle="1" w:styleId="19">
    <w:name w:val="正文文本_"/>
    <w:basedOn w:val="7"/>
    <w:qFormat/>
    <w:locked/>
    <w:uiPriority w:val="0"/>
    <w:rPr>
      <w:rFonts w:ascii="黑体" w:hAnsi="Courier New" w:eastAsia="黑体" w:cs="黑体"/>
      <w:sz w:val="30"/>
      <w:szCs w:val="30"/>
      <w:lang w:val="en-US" w:eastAsia="zh-CN" w:bidi="ar-SA"/>
    </w:rPr>
  </w:style>
  <w:style w:type="character" w:customStyle="1" w:styleId="20">
    <w:name w:val="num5"/>
    <w:basedOn w:val="7"/>
    <w:qFormat/>
    <w:uiPriority w:val="0"/>
  </w:style>
  <w:style w:type="character" w:customStyle="1" w:styleId="21">
    <w:name w:val="num51"/>
    <w:basedOn w:val="7"/>
    <w:qFormat/>
    <w:uiPriority w:val="0"/>
  </w:style>
  <w:style w:type="character" w:customStyle="1" w:styleId="22">
    <w:name w:val="num3"/>
    <w:basedOn w:val="7"/>
    <w:qFormat/>
    <w:uiPriority w:val="0"/>
  </w:style>
  <w:style w:type="character" w:customStyle="1" w:styleId="23">
    <w:name w:val="num31"/>
    <w:basedOn w:val="7"/>
    <w:qFormat/>
    <w:uiPriority w:val="0"/>
  </w:style>
  <w:style w:type="character" w:customStyle="1" w:styleId="24">
    <w:name w:val="num6"/>
    <w:basedOn w:val="7"/>
    <w:qFormat/>
    <w:uiPriority w:val="0"/>
  </w:style>
  <w:style w:type="character" w:customStyle="1" w:styleId="25">
    <w:name w:val="num61"/>
    <w:basedOn w:val="7"/>
    <w:qFormat/>
    <w:uiPriority w:val="0"/>
  </w:style>
  <w:style w:type="character" w:customStyle="1" w:styleId="26">
    <w:name w:val="num4"/>
    <w:basedOn w:val="7"/>
    <w:qFormat/>
    <w:uiPriority w:val="0"/>
  </w:style>
  <w:style w:type="character" w:customStyle="1" w:styleId="27">
    <w:name w:val="num41"/>
    <w:basedOn w:val="7"/>
    <w:qFormat/>
    <w:uiPriority w:val="0"/>
  </w:style>
  <w:style w:type="character" w:customStyle="1" w:styleId="28">
    <w:name w:val="num1"/>
    <w:basedOn w:val="7"/>
    <w:qFormat/>
    <w:uiPriority w:val="0"/>
  </w:style>
  <w:style w:type="character" w:customStyle="1" w:styleId="29">
    <w:name w:val="num11"/>
    <w:basedOn w:val="7"/>
    <w:qFormat/>
    <w:uiPriority w:val="0"/>
  </w:style>
  <w:style w:type="character" w:customStyle="1" w:styleId="30">
    <w:name w:val="num2"/>
    <w:basedOn w:val="7"/>
    <w:qFormat/>
    <w:uiPriority w:val="0"/>
  </w:style>
  <w:style w:type="character" w:customStyle="1" w:styleId="31">
    <w:name w:val="num21"/>
    <w:basedOn w:val="7"/>
    <w:qFormat/>
    <w:uiPriority w:val="0"/>
  </w:style>
  <w:style w:type="character" w:customStyle="1" w:styleId="32">
    <w:name w:val="num7"/>
    <w:basedOn w:val="7"/>
    <w:qFormat/>
    <w:uiPriority w:val="0"/>
  </w:style>
  <w:style w:type="character" w:customStyle="1" w:styleId="33">
    <w:name w:val="num71"/>
    <w:basedOn w:val="7"/>
    <w:qFormat/>
    <w:uiPriority w:val="0"/>
  </w:style>
  <w:style w:type="character" w:customStyle="1" w:styleId="34">
    <w:name w:val="sen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2018-11-12T17:45:00Z</dcterms:created>
  <dc:creator>lenovo</dc:creator>
  <cp:lastModifiedBy>user</cp:lastModifiedBy>
  <cp:lastPrinted>2018-12-12T00:44:00Z</cp:lastPrinted>
  <dcterms:modified xsi:type="dcterms:W3CDTF">2024-10-23T09:57:21Z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