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572C6F">
      <w:pPr>
        <w:spacing w:line="360" w:lineRule="auto"/>
        <w:jc w:val="left"/>
        <w:rPr>
          <w:rFonts w:hint="eastAsia" w:ascii="Times New Roman" w:eastAsia="宋体"/>
          <w:sz w:val="28"/>
          <w:szCs w:val="30"/>
          <w:lang w:eastAsia="zh-CN"/>
        </w:rPr>
      </w:pPr>
      <w:r>
        <w:rPr>
          <w:rFonts w:hint="eastAsia" w:ascii="Times New Roman" w:eastAsia="宋体"/>
          <w:sz w:val="28"/>
          <w:szCs w:val="30"/>
          <w:lang w:eastAsia="zh-CN"/>
        </w:rPr>
        <w:t>附件：</w:t>
      </w:r>
    </w:p>
    <w:p w14:paraId="7D8EAB5F">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rFonts w:ascii="Times New Roman" w:eastAsia="宋体"/>
          <w:sz w:val="28"/>
          <w:szCs w:val="30"/>
        </w:rPr>
      </w:pPr>
      <w:r>
        <w:rPr>
          <w:rFonts w:hint="eastAsia" w:ascii="Times New Roman" w:eastAsia="宋体"/>
          <w:sz w:val="28"/>
          <w:szCs w:val="30"/>
        </w:rPr>
        <w:t>2022年12月28日，中共中央办公厅、国务院办公厅印发了《关于加强新时代水土保持工作的意见》（以下简称“两办意见”）突出抓好水土流失源头防控。按照国土空间规划和用途管控要求，建立水土保持空间管控制度，落实差别化保护治理措施。将水土保持生态功能重要区域和水土流失敏感脆弱区域纳入生态保护红线，实行严格管控，减少人类活动对自然生态空间的占用。提升生态系统水土保持功能。把巩固提升森林、草原生态系统质量和稳定性作为水土流失预防保护的重点，严禁违法违规开垦，加强天然林和草原保护修复，落实草原禁牧休牧和草畜平衡制度，充分发挥林草水土保持功能。</w:t>
      </w:r>
    </w:p>
    <w:p w14:paraId="372EACB3">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rFonts w:ascii="Times New Roman" w:eastAsia="宋体"/>
          <w:sz w:val="28"/>
          <w:szCs w:val="30"/>
        </w:rPr>
      </w:pPr>
      <w:r>
        <w:rPr>
          <w:rFonts w:hint="eastAsia" w:ascii="Times New Roman" w:eastAsia="宋体"/>
          <w:sz w:val="28"/>
          <w:szCs w:val="30"/>
        </w:rPr>
        <w:t>2023年1月31日，水利部印发了《贯彻落实&lt;关于加强新时代水土保持工作的意见&gt;实施方案的通知》（水保﹝2023﹞25号）</w:t>
      </w:r>
    </w:p>
    <w:p w14:paraId="33B53AAA">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rFonts w:ascii="Times New Roman" w:eastAsia="宋体"/>
          <w:sz w:val="28"/>
          <w:szCs w:val="30"/>
        </w:rPr>
      </w:pPr>
      <w:r>
        <w:rPr>
          <w:rFonts w:hint="eastAsia" w:ascii="Times New Roman" w:eastAsia="宋体"/>
          <w:sz w:val="28"/>
          <w:szCs w:val="30"/>
        </w:rPr>
        <w:t>针对两办意见，水利部提出了落实措施：制定水土保持空间管控区域划定的《技术指南》，指导各地结合“三区三线''等，划定水土流失重点预防区、重点治理区和水土流失严重、生态脆弱区域的范围；指导各省份以县为单位依法划定和公告禁止开垦陡坡地的范围。建立水土保持空间管控制度，分类分区提出差别化的水土流失预防保护和治理措施。</w:t>
      </w:r>
    </w:p>
    <w:p w14:paraId="71F626C9">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rFonts w:ascii="Times New Roman" w:eastAsia="宋体"/>
          <w:sz w:val="28"/>
          <w:szCs w:val="30"/>
        </w:rPr>
      </w:pPr>
      <w:r>
        <w:rPr>
          <w:rFonts w:hint="eastAsia" w:ascii="Times New Roman" w:eastAsia="宋体"/>
          <w:sz w:val="28"/>
          <w:szCs w:val="30"/>
        </w:rPr>
        <w:t>2024年3月19日，水利部水土保持司印发了《关于加快推进水土保持重点区域划定落地工作的通知》（水保监督函﹝2024﹞2号）要求：</w:t>
      </w:r>
    </w:p>
    <w:p w14:paraId="55847A79">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rFonts w:ascii="Times New Roman" w:eastAsia="宋体"/>
          <w:sz w:val="28"/>
          <w:szCs w:val="30"/>
        </w:rPr>
      </w:pPr>
      <w:r>
        <w:rPr>
          <w:rFonts w:hint="eastAsia" w:ascii="Times New Roman" w:eastAsia="宋体"/>
          <w:sz w:val="28"/>
          <w:szCs w:val="30"/>
        </w:rPr>
        <w:t>1.制定划定工作计划，按照时间节点要求加快推进。</w:t>
      </w:r>
    </w:p>
    <w:p w14:paraId="29CFAAB9">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rFonts w:ascii="Times New Roman" w:eastAsia="宋体"/>
          <w:sz w:val="28"/>
          <w:szCs w:val="30"/>
        </w:rPr>
      </w:pPr>
      <w:r>
        <w:rPr>
          <w:rFonts w:hint="eastAsia" w:ascii="Times New Roman" w:eastAsia="宋体"/>
          <w:sz w:val="28"/>
          <w:szCs w:val="30"/>
        </w:rPr>
        <w:t>2.组建专家技术指导组，加强全链条全过程跟踪督促。</w:t>
      </w:r>
    </w:p>
    <w:p w14:paraId="240CF083">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rFonts w:ascii="Times New Roman" w:eastAsia="宋体"/>
          <w:sz w:val="28"/>
          <w:szCs w:val="30"/>
        </w:rPr>
      </w:pPr>
      <w:r>
        <w:rPr>
          <w:rFonts w:hint="eastAsia" w:ascii="Times New Roman" w:eastAsia="宋体"/>
          <w:sz w:val="28"/>
          <w:szCs w:val="30"/>
        </w:rPr>
        <w:t>3.建立定期调度机制，确保按时高质量完成目标任务。</w:t>
      </w:r>
    </w:p>
    <w:p w14:paraId="3243479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outlineLvl w:val="0"/>
        <w:rPr>
          <w:rFonts w:hint="eastAsia" w:ascii="黑体" w:hAnsi="黑体" w:eastAsia="黑体" w:cs="黑体"/>
          <w:b w:val="0"/>
          <w:bCs/>
          <w:sz w:val="32"/>
          <w:szCs w:val="52"/>
        </w:rPr>
      </w:pPr>
      <w:r>
        <w:rPr>
          <w:rFonts w:hint="eastAsia" w:ascii="黑体" w:hAnsi="黑体" w:eastAsia="黑体" w:cs="黑体"/>
          <w:b w:val="0"/>
          <w:bCs/>
          <w:sz w:val="32"/>
          <w:szCs w:val="52"/>
        </w:rPr>
        <w:t>一、基本概况</w:t>
      </w:r>
    </w:p>
    <w:p w14:paraId="69C28728">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rFonts w:ascii="Times New Roman" w:eastAsia="宋体"/>
          <w:sz w:val="28"/>
          <w:szCs w:val="30"/>
        </w:rPr>
      </w:pPr>
      <w:r>
        <w:rPr>
          <w:rFonts w:hint="eastAsia" w:ascii="Times New Roman" w:eastAsia="宋体"/>
          <w:sz w:val="28"/>
          <w:szCs w:val="30"/>
        </w:rPr>
        <w:t>明山区位于本溪市主城区的东北部，是1985年本溪市重新区划后成立的一个城乡接合的新型城区，总面积413.35平方公里，其中城区面积42平方公里。下辖7个街道办事处、26个行政村和57个社区居委会，常住人口41万，其中农业人口3.4万人，有满族、回族、朝鲜族、蒙古族等少数民族26个。</w:t>
      </w:r>
    </w:p>
    <w:p w14:paraId="6DA5654A">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rFonts w:ascii="Times New Roman" w:eastAsia="宋体"/>
          <w:sz w:val="28"/>
          <w:szCs w:val="30"/>
        </w:rPr>
      </w:pPr>
      <w:r>
        <w:rPr>
          <w:rFonts w:hint="eastAsia" w:ascii="Times New Roman" w:eastAsia="宋体"/>
          <w:sz w:val="28"/>
          <w:szCs w:val="30"/>
        </w:rPr>
        <w:t>明山区区位优势明显，与1县4区相邻，是本溪市新区开发、城市东扩的重要所在地。距沈阳桃仙机场50公里、大连港350公里、营口港180公里、大东港170公里；沈丹高铁、溪田铁路、沈本产业大道、本桓公路以及辽宁中部环线高速公路（本溪段）穿区而过，丹阜高速公路（沈丹段）本溪市区三个出入口都在明山区境内，形成了快速便捷的交通网络。</w:t>
      </w:r>
    </w:p>
    <w:p w14:paraId="4B4C1D4B">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rFonts w:ascii="Times New Roman" w:eastAsia="宋体"/>
          <w:sz w:val="28"/>
          <w:szCs w:val="30"/>
        </w:rPr>
      </w:pPr>
      <w:r>
        <w:rPr>
          <w:rFonts w:hint="eastAsia" w:ascii="Times New Roman" w:eastAsia="宋体"/>
          <w:sz w:val="28"/>
          <w:szCs w:val="30"/>
        </w:rPr>
        <w:t>明山区属北温带半湿润大陆性气候区，四季分明，雨量比较充足，年平均气温为8.1℃，年平均降水量790毫米。区内群山环绕，河流众多，山势挺拔俊秀，太子河蜿蜒穿区而过，森林茂密、植被保存完好，林地面积3.1万公顷，耕地面积48552亩，森林植被覆盖率达67.61%。区内山菜野果多达100余种，中草药材达310余种。目前，区内初步探明优质烟煤可开采量500万吨，高岭土及铝矾土开采量1000万吨，铁矿石开采量6000万吨，硅储量近亿吨，石灰石储量超过7亿吨。</w:t>
      </w:r>
    </w:p>
    <w:p w14:paraId="63930794">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rFonts w:ascii="Times New Roman" w:eastAsia="宋体"/>
          <w:sz w:val="28"/>
          <w:szCs w:val="30"/>
        </w:rPr>
      </w:pPr>
      <w:r>
        <w:rPr>
          <w:rFonts w:hint="eastAsia" w:ascii="Times New Roman" w:eastAsia="宋体"/>
          <w:sz w:val="28"/>
          <w:szCs w:val="30"/>
        </w:rPr>
        <w:t>该区域位于本溪市西部，城市中心地带，人口集中，葠窝水库上游重要区域。区域内水土流失面积比例相对较低，但由于是城市建设密集区，侵蚀虽小但强大较大，以人为侵蚀为主。明山区共有六个街道，分别为明山区城区、新明街道办事处、东兴街道办事处、卧龙街道、牛心台街道、高台子镇。</w:t>
      </w:r>
    </w:p>
    <w:p w14:paraId="57789E2A">
      <w:pPr>
        <w:jc w:val="center"/>
        <w:rPr>
          <w:rFonts w:ascii="Times New Roman" w:eastAsia="宋体"/>
          <w:sz w:val="28"/>
          <w:szCs w:val="30"/>
        </w:rPr>
      </w:pPr>
    </w:p>
    <w:p w14:paraId="42F8F049">
      <w:pPr>
        <w:jc w:val="center"/>
        <w:rPr>
          <w:rFonts w:ascii="Times New Roman" w:eastAsia="宋体"/>
          <w:sz w:val="28"/>
          <w:szCs w:val="30"/>
        </w:rPr>
      </w:pPr>
      <w:r>
        <w:rPr>
          <w:rFonts w:hint="eastAsia" w:ascii="Times New Roman" w:eastAsia="宋体"/>
          <w:sz w:val="28"/>
          <w:szCs w:val="30"/>
        </w:rPr>
        <w:drawing>
          <wp:inline distT="0" distB="0" distL="114300" distR="114300">
            <wp:extent cx="3155950" cy="3997960"/>
            <wp:effectExtent l="0" t="0" r="13970" b="10160"/>
            <wp:docPr id="7" name="图片 7" descr="371f05223704da666aad49d33a4c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371f05223704da666aad49d33a4c380"/>
                    <pic:cNvPicPr>
                      <a:picLocks noChangeAspect="1"/>
                    </pic:cNvPicPr>
                  </pic:nvPicPr>
                  <pic:blipFill>
                    <a:blip r:embed="rId4"/>
                    <a:stretch>
                      <a:fillRect/>
                    </a:stretch>
                  </pic:blipFill>
                  <pic:spPr>
                    <a:xfrm>
                      <a:off x="0" y="0"/>
                      <a:ext cx="3155950" cy="3997960"/>
                    </a:xfrm>
                    <a:prstGeom prst="rect">
                      <a:avLst/>
                    </a:prstGeom>
                  </pic:spPr>
                </pic:pic>
              </a:graphicData>
            </a:graphic>
          </wp:inline>
        </w:drawing>
      </w:r>
    </w:p>
    <w:p w14:paraId="3E6B0B85">
      <w:pPr>
        <w:spacing w:line="360" w:lineRule="auto"/>
        <w:ind w:firstLine="420" w:firstLineChars="200"/>
        <w:jc w:val="center"/>
        <w:rPr>
          <w:rFonts w:ascii="Times New Roman" w:eastAsia="宋体"/>
          <w:sz w:val="28"/>
          <w:szCs w:val="30"/>
        </w:rPr>
      </w:pPr>
      <w:r>
        <w:rPr>
          <w:rFonts w:hint="eastAsia" w:ascii="Times New Roman" w:eastAsia="宋体"/>
          <w:szCs w:val="21"/>
        </w:rPr>
        <w:t>项目范围示意图</w:t>
      </w:r>
    </w:p>
    <w:p w14:paraId="09DB83F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0"/>
        <w:rPr>
          <w:rFonts w:hint="eastAsia" w:ascii="黑体" w:hAnsi="黑体" w:eastAsia="黑体" w:cs="黑体"/>
          <w:b w:val="0"/>
          <w:bCs/>
          <w:sz w:val="32"/>
          <w:szCs w:val="52"/>
        </w:rPr>
      </w:pPr>
      <w:r>
        <w:rPr>
          <w:rFonts w:hint="eastAsia" w:ascii="黑体" w:hAnsi="黑体" w:eastAsia="黑体" w:cs="黑体"/>
          <w:b w:val="0"/>
          <w:bCs/>
          <w:sz w:val="32"/>
          <w:szCs w:val="52"/>
        </w:rPr>
        <w:t>二、划定依据与技术路线</w:t>
      </w:r>
    </w:p>
    <w:p w14:paraId="1446B6D6">
      <w:pPr>
        <w:keepNext w:val="0"/>
        <w:keepLines w:val="0"/>
        <w:pageBreakBefore w:val="0"/>
        <w:widowControl w:val="0"/>
        <w:kinsoku/>
        <w:wordWrap/>
        <w:overflowPunct/>
        <w:topLinePunct w:val="0"/>
        <w:autoSpaceDE/>
        <w:autoSpaceDN/>
        <w:bidi w:val="0"/>
        <w:adjustRightInd/>
        <w:snapToGrid/>
        <w:spacing w:line="600" w:lineRule="exact"/>
        <w:ind w:firstLine="602" w:firstLineChars="200"/>
        <w:jc w:val="both"/>
        <w:textAlignment w:val="auto"/>
        <w:outlineLvl w:val="1"/>
        <w:rPr>
          <w:rFonts w:ascii="Times New Roman" w:eastAsia="宋体"/>
          <w:b/>
          <w:sz w:val="30"/>
          <w:szCs w:val="52"/>
        </w:rPr>
      </w:pPr>
      <w:r>
        <w:rPr>
          <w:rFonts w:hint="eastAsia" w:ascii="Times New Roman" w:eastAsia="宋体"/>
          <w:b/>
          <w:sz w:val="30"/>
          <w:szCs w:val="52"/>
        </w:rPr>
        <w:t>1.技术指标与要求</w:t>
      </w:r>
    </w:p>
    <w:p w14:paraId="5EB4F55B">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both"/>
        <w:textAlignment w:val="auto"/>
        <w:outlineLvl w:val="2"/>
        <w:rPr>
          <w:rFonts w:ascii="Times New Roman" w:eastAsia="宋体"/>
          <w:sz w:val="28"/>
          <w:szCs w:val="28"/>
        </w:rPr>
      </w:pPr>
      <w:r>
        <w:rPr>
          <w:rFonts w:hint="eastAsia" w:ascii="Times New Roman" w:eastAsia="宋体"/>
          <w:sz w:val="28"/>
          <w:szCs w:val="28"/>
        </w:rPr>
        <w:t>1.1数学基础</w:t>
      </w:r>
    </w:p>
    <w:p w14:paraId="05EB2BB9">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both"/>
        <w:textAlignment w:val="auto"/>
        <w:rPr>
          <w:rFonts w:ascii="Times New Roman" w:eastAsia="宋体"/>
          <w:sz w:val="28"/>
          <w:szCs w:val="28"/>
        </w:rPr>
      </w:pPr>
      <w:r>
        <w:rPr>
          <w:rFonts w:hint="eastAsia" w:ascii="Times New Roman" w:eastAsia="宋体"/>
          <w:sz w:val="28"/>
          <w:szCs w:val="28"/>
        </w:rPr>
        <w:t>（1）平面坐标系统</w:t>
      </w:r>
    </w:p>
    <w:p w14:paraId="2B10D3D5">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both"/>
        <w:textAlignment w:val="auto"/>
        <w:rPr>
          <w:rFonts w:ascii="Times New Roman" w:eastAsia="宋体"/>
          <w:sz w:val="28"/>
          <w:szCs w:val="28"/>
        </w:rPr>
      </w:pPr>
      <w:r>
        <w:rPr>
          <w:rFonts w:hint="eastAsia" w:ascii="Times New Roman" w:eastAsia="宋体"/>
          <w:sz w:val="28"/>
          <w:szCs w:val="28"/>
        </w:rPr>
        <w:t>采用“2000国家大地坐标系”。</w:t>
      </w:r>
    </w:p>
    <w:p w14:paraId="561A4E58">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both"/>
        <w:textAlignment w:val="auto"/>
        <w:rPr>
          <w:rFonts w:ascii="Times New Roman" w:eastAsia="宋体"/>
          <w:sz w:val="28"/>
          <w:szCs w:val="28"/>
        </w:rPr>
      </w:pPr>
      <w:r>
        <w:rPr>
          <w:rFonts w:hint="eastAsia" w:ascii="Times New Roman" w:eastAsia="宋体"/>
          <w:sz w:val="28"/>
          <w:szCs w:val="28"/>
        </w:rPr>
        <w:t>（2）高程系统</w:t>
      </w:r>
    </w:p>
    <w:p w14:paraId="2C4A0847">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both"/>
        <w:textAlignment w:val="auto"/>
        <w:rPr>
          <w:rFonts w:ascii="Times New Roman" w:eastAsia="宋体"/>
          <w:sz w:val="28"/>
          <w:szCs w:val="28"/>
        </w:rPr>
      </w:pPr>
      <w:r>
        <w:rPr>
          <w:rFonts w:hint="eastAsia" w:ascii="Times New Roman" w:eastAsia="宋体"/>
          <w:sz w:val="28"/>
          <w:szCs w:val="28"/>
        </w:rPr>
        <w:t>采用“1985国家高程基准”。</w:t>
      </w:r>
    </w:p>
    <w:p w14:paraId="5A745E26">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both"/>
        <w:textAlignment w:val="auto"/>
        <w:rPr>
          <w:rFonts w:ascii="Times New Roman" w:eastAsia="宋体"/>
          <w:sz w:val="28"/>
          <w:szCs w:val="28"/>
        </w:rPr>
      </w:pPr>
      <w:r>
        <w:rPr>
          <w:rFonts w:hint="eastAsia" w:ascii="Times New Roman" w:eastAsia="宋体"/>
          <w:sz w:val="28"/>
          <w:szCs w:val="28"/>
        </w:rPr>
        <w:t>（3）投影方式</w:t>
      </w:r>
    </w:p>
    <w:p w14:paraId="3C7EC8EF">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both"/>
        <w:textAlignment w:val="auto"/>
        <w:rPr>
          <w:rFonts w:ascii="Times New Roman" w:eastAsia="宋体"/>
          <w:sz w:val="28"/>
          <w:szCs w:val="28"/>
        </w:rPr>
      </w:pPr>
      <w:r>
        <w:rPr>
          <w:rFonts w:hint="eastAsia" w:ascii="Times New Roman" w:eastAsia="宋体"/>
          <w:sz w:val="28"/>
          <w:szCs w:val="28"/>
        </w:rPr>
        <w:t>采用高斯-克吕格投影，数据按3°分带。</w:t>
      </w:r>
    </w:p>
    <w:p w14:paraId="5386C9E2">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both"/>
        <w:textAlignment w:val="auto"/>
        <w:rPr>
          <w:rFonts w:ascii="Times New Roman" w:eastAsia="宋体"/>
          <w:sz w:val="28"/>
          <w:szCs w:val="28"/>
        </w:rPr>
      </w:pPr>
      <w:r>
        <w:rPr>
          <w:rFonts w:hint="eastAsia" w:ascii="Times New Roman" w:eastAsia="宋体"/>
          <w:sz w:val="28"/>
          <w:szCs w:val="28"/>
        </w:rPr>
        <w:t>1.2.计量单位</w:t>
      </w:r>
    </w:p>
    <w:p w14:paraId="4727148C">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both"/>
        <w:textAlignment w:val="auto"/>
        <w:rPr>
          <w:rFonts w:ascii="Times New Roman" w:eastAsia="宋体"/>
          <w:sz w:val="28"/>
          <w:szCs w:val="28"/>
        </w:rPr>
      </w:pPr>
      <w:r>
        <w:rPr>
          <w:rFonts w:hint="eastAsia" w:ascii="Times New Roman" w:eastAsia="宋体"/>
          <w:sz w:val="28"/>
          <w:szCs w:val="28"/>
        </w:rPr>
        <w:t>长度单位采用米（m），保留一位小数；面积计算单位采用平方米（m2),保留两位小数；面积统计汇总单位采用公顷（hm2)，保留两位小数。小数进位采用四舍五入方法。</w:t>
      </w:r>
    </w:p>
    <w:p w14:paraId="5BB1B041">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both"/>
        <w:textAlignment w:val="auto"/>
        <w:outlineLvl w:val="2"/>
        <w:rPr>
          <w:rFonts w:ascii="Times New Roman" w:eastAsia="宋体"/>
          <w:sz w:val="28"/>
          <w:szCs w:val="28"/>
        </w:rPr>
      </w:pPr>
      <w:r>
        <w:rPr>
          <w:rFonts w:hint="eastAsia" w:ascii="Times New Roman" w:eastAsia="宋体"/>
          <w:sz w:val="28"/>
          <w:szCs w:val="28"/>
        </w:rPr>
        <w:t>1.3.技术方法</w:t>
      </w:r>
    </w:p>
    <w:p w14:paraId="4A690883">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both"/>
        <w:textAlignment w:val="auto"/>
        <w:rPr>
          <w:rFonts w:ascii="Times New Roman" w:eastAsia="宋体"/>
          <w:sz w:val="28"/>
          <w:szCs w:val="28"/>
        </w:rPr>
      </w:pPr>
      <w:r>
        <w:rPr>
          <w:rFonts w:hint="eastAsia" w:ascii="Times New Roman" w:eastAsia="宋体"/>
          <w:sz w:val="28"/>
          <w:szCs w:val="28"/>
        </w:rPr>
        <w:t>（1）基础资料收集</w:t>
      </w:r>
    </w:p>
    <w:p w14:paraId="0E39550B">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both"/>
        <w:textAlignment w:val="auto"/>
        <w:rPr>
          <w:rFonts w:ascii="Times New Roman" w:eastAsia="宋体"/>
          <w:sz w:val="28"/>
          <w:szCs w:val="28"/>
        </w:rPr>
      </w:pPr>
      <w:r>
        <w:rPr>
          <w:rFonts w:hint="eastAsia" w:ascii="Times New Roman" w:eastAsia="宋体"/>
          <w:sz w:val="28"/>
          <w:szCs w:val="28"/>
        </w:rPr>
        <w:t>（2）生产坡度分级数据</w:t>
      </w:r>
    </w:p>
    <w:p w14:paraId="6CAD28B2">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both"/>
        <w:textAlignment w:val="auto"/>
        <w:rPr>
          <w:rFonts w:ascii="Times New Roman" w:eastAsia="宋体"/>
          <w:sz w:val="28"/>
          <w:szCs w:val="28"/>
        </w:rPr>
      </w:pPr>
      <w:r>
        <w:rPr>
          <w:rFonts w:hint="eastAsia" w:ascii="Times New Roman" w:eastAsia="宋体"/>
          <w:sz w:val="28"/>
          <w:szCs w:val="28"/>
        </w:rPr>
        <w:t>（3）初步划定禁止开垦陡坡地范围</w:t>
      </w:r>
    </w:p>
    <w:p w14:paraId="1D62C4AC">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both"/>
        <w:textAlignment w:val="auto"/>
        <w:rPr>
          <w:rFonts w:ascii="Times New Roman" w:eastAsia="宋体"/>
          <w:sz w:val="28"/>
          <w:szCs w:val="28"/>
        </w:rPr>
      </w:pPr>
      <w:r>
        <w:rPr>
          <w:rFonts w:hint="eastAsia" w:ascii="Times New Roman" w:eastAsia="宋体"/>
          <w:sz w:val="28"/>
          <w:szCs w:val="28"/>
        </w:rPr>
        <w:t>（4）边界修正与复合验证</w:t>
      </w:r>
    </w:p>
    <w:p w14:paraId="1955BFC3">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1"/>
        <w:rPr>
          <w:rFonts w:ascii="Times New Roman" w:eastAsia="宋体"/>
          <w:b/>
          <w:sz w:val="30"/>
          <w:szCs w:val="52"/>
        </w:rPr>
      </w:pPr>
      <w:r>
        <w:rPr>
          <w:rFonts w:hint="eastAsia" w:ascii="Times New Roman" w:eastAsia="宋体"/>
          <w:b/>
          <w:sz w:val="30"/>
          <w:szCs w:val="52"/>
        </w:rPr>
        <w:t>2.技术依据法律法规及规范性文件，批复的相关规划文件。</w:t>
      </w:r>
    </w:p>
    <w:p w14:paraId="182E8268">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both"/>
        <w:textAlignment w:val="auto"/>
        <w:rPr>
          <w:rFonts w:ascii="Times New Roman" w:eastAsia="宋体"/>
          <w:sz w:val="28"/>
          <w:szCs w:val="28"/>
        </w:rPr>
      </w:pPr>
      <w:r>
        <w:rPr>
          <w:rFonts w:hint="eastAsia" w:ascii="Times New Roman" w:eastAsia="宋体"/>
          <w:sz w:val="28"/>
          <w:szCs w:val="28"/>
        </w:rPr>
        <w:t>《禁止开垦陡坡地范围划定技术指南》</w:t>
      </w:r>
    </w:p>
    <w:p w14:paraId="38881BF2">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both"/>
        <w:textAlignment w:val="auto"/>
        <w:rPr>
          <w:rFonts w:ascii="Times New Roman" w:eastAsia="宋体"/>
          <w:sz w:val="28"/>
          <w:szCs w:val="28"/>
        </w:rPr>
      </w:pPr>
      <w:r>
        <w:rPr>
          <w:rFonts w:hint="eastAsia" w:ascii="Times New Roman" w:eastAsia="宋体"/>
          <w:sz w:val="28"/>
          <w:szCs w:val="28"/>
        </w:rPr>
        <w:t>《辽宁省水土保持条例》</w:t>
      </w:r>
    </w:p>
    <w:p w14:paraId="1FF4B612">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both"/>
        <w:textAlignment w:val="auto"/>
        <w:rPr>
          <w:rFonts w:ascii="Times New Roman" w:eastAsia="宋体"/>
          <w:sz w:val="28"/>
          <w:szCs w:val="52"/>
        </w:rPr>
      </w:pPr>
      <w:r>
        <w:rPr>
          <w:rFonts w:hint="eastAsia" w:ascii="Times New Roman" w:hAnsi="微软雅黑" w:eastAsia="宋体"/>
          <w:sz w:val="28"/>
          <w:lang w:val="zh-CN"/>
        </w:rPr>
        <w:t>《第三次全规程国土地调查技术》（TD/T1055-2019）</w:t>
      </w:r>
    </w:p>
    <w:p w14:paraId="08923CD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0"/>
        <w:rPr>
          <w:rFonts w:ascii="Times New Roman" w:eastAsia="宋体"/>
          <w:b/>
          <w:sz w:val="32"/>
          <w:szCs w:val="52"/>
        </w:rPr>
      </w:pPr>
      <w:r>
        <w:rPr>
          <w:rFonts w:hint="eastAsia" w:ascii="黑体" w:hAnsi="黑体" w:eastAsia="黑体" w:cs="黑体"/>
          <w:b w:val="0"/>
          <w:bCs/>
          <w:sz w:val="32"/>
          <w:szCs w:val="52"/>
        </w:rPr>
        <w:t>三、划定方法</w:t>
      </w:r>
    </w:p>
    <w:p w14:paraId="2778CB57">
      <w:pPr>
        <w:keepNext w:val="0"/>
        <w:keepLines w:val="0"/>
        <w:pageBreakBefore w:val="0"/>
        <w:widowControl w:val="0"/>
        <w:kinsoku/>
        <w:wordWrap/>
        <w:overflowPunct/>
        <w:topLinePunct w:val="0"/>
        <w:autoSpaceDE/>
        <w:autoSpaceDN/>
        <w:bidi w:val="0"/>
        <w:adjustRightInd/>
        <w:snapToGrid/>
        <w:spacing w:line="600" w:lineRule="exact"/>
        <w:ind w:firstLine="602" w:firstLineChars="200"/>
        <w:jc w:val="both"/>
        <w:textAlignment w:val="auto"/>
        <w:outlineLvl w:val="1"/>
        <w:rPr>
          <w:rFonts w:ascii="Times New Roman" w:eastAsia="宋体"/>
          <w:b/>
          <w:sz w:val="30"/>
          <w:szCs w:val="52"/>
        </w:rPr>
      </w:pPr>
      <w:r>
        <w:rPr>
          <w:rFonts w:hint="eastAsia" w:ascii="Times New Roman" w:eastAsia="宋体"/>
          <w:b/>
          <w:sz w:val="30"/>
          <w:szCs w:val="52"/>
        </w:rPr>
        <w:t>1.采用的数据</w:t>
      </w:r>
    </w:p>
    <w:p w14:paraId="0B6E2A95">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both"/>
        <w:textAlignment w:val="auto"/>
        <w:rPr>
          <w:rFonts w:ascii="Times New Roman" w:eastAsia="宋体"/>
          <w:sz w:val="28"/>
          <w:szCs w:val="28"/>
        </w:rPr>
      </w:pPr>
      <w:r>
        <w:rPr>
          <w:rFonts w:hint="eastAsia" w:ascii="Times New Roman" w:eastAsia="宋体"/>
          <w:sz w:val="28"/>
          <w:szCs w:val="28"/>
        </w:rPr>
        <w:t>12.5mDEM数据、高分辨率遥感影像、第三次全国国土调查数据(耕地、林地、草地、裸土地图斑矢量边界,以及坡度分级数据)、生态保护红线矢量边界、饮用水水源保护区</w:t>
      </w:r>
    </w:p>
    <w:p w14:paraId="67A837B5">
      <w:pPr>
        <w:keepNext w:val="0"/>
        <w:keepLines w:val="0"/>
        <w:pageBreakBefore w:val="0"/>
        <w:widowControl w:val="0"/>
        <w:kinsoku/>
        <w:wordWrap/>
        <w:overflowPunct/>
        <w:topLinePunct w:val="0"/>
        <w:autoSpaceDE/>
        <w:autoSpaceDN/>
        <w:bidi w:val="0"/>
        <w:adjustRightInd/>
        <w:snapToGrid/>
        <w:spacing w:line="600" w:lineRule="exact"/>
        <w:ind w:firstLine="602" w:firstLineChars="200"/>
        <w:jc w:val="both"/>
        <w:textAlignment w:val="auto"/>
        <w:outlineLvl w:val="1"/>
        <w:rPr>
          <w:rFonts w:ascii="Times New Roman" w:eastAsia="宋体"/>
          <w:b/>
          <w:sz w:val="30"/>
          <w:szCs w:val="52"/>
        </w:rPr>
      </w:pPr>
      <w:r>
        <w:rPr>
          <w:rFonts w:hint="eastAsia" w:ascii="Times New Roman" w:eastAsia="宋体"/>
          <w:b/>
          <w:sz w:val="30"/>
          <w:szCs w:val="52"/>
        </w:rPr>
        <w:t>2.划定的具体步骤。</w:t>
      </w:r>
    </w:p>
    <w:p w14:paraId="325BB10C">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both"/>
        <w:textAlignment w:val="auto"/>
        <w:rPr>
          <w:rFonts w:ascii="Times New Roman" w:eastAsia="宋体"/>
          <w:sz w:val="28"/>
          <w:szCs w:val="28"/>
        </w:rPr>
      </w:pPr>
      <w:r>
        <w:rPr>
          <w:rFonts w:hint="eastAsia" w:ascii="Times New Roman" w:eastAsia="宋体"/>
          <w:sz w:val="28"/>
          <w:szCs w:val="28"/>
        </w:rPr>
        <w:t>（1）收集各级行政区划矢量边界、乡镇行政区划矢量边界、数字高程数据(DEM)、高分辨率遥感影像、第三次全国国土调查数据(林地、草地、裸土地图斑矢量边界，以及坡度分级数据)生态保护红线矢量边界以及各省(自治区、直辖市)饮用水水源一级保护区矢量边界数据。</w:t>
      </w:r>
    </w:p>
    <w:p w14:paraId="1032CD87">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both"/>
        <w:textAlignment w:val="auto"/>
        <w:rPr>
          <w:rFonts w:ascii="Times New Roman" w:eastAsia="宋体"/>
          <w:sz w:val="28"/>
          <w:szCs w:val="28"/>
        </w:rPr>
      </w:pPr>
      <w:r>
        <w:rPr>
          <w:rFonts w:hint="eastAsia" w:ascii="Times New Roman" w:eastAsia="宋体"/>
          <w:sz w:val="28"/>
          <w:szCs w:val="28"/>
        </w:rPr>
        <w:t>（2）依据收集的国土三调数据或者DEM制作坡度数据并提取禁止开垦坡度栅格数据，将提取的栅格数据转化为矢量数据。</w:t>
      </w:r>
    </w:p>
    <w:p w14:paraId="2F687B9D">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both"/>
        <w:textAlignment w:val="auto"/>
        <w:rPr>
          <w:rFonts w:ascii="Times New Roman" w:eastAsia="宋体"/>
          <w:sz w:val="28"/>
          <w:szCs w:val="28"/>
        </w:rPr>
      </w:pPr>
      <w:r>
        <w:rPr>
          <w:rFonts w:hint="eastAsia" w:ascii="Times New Roman" w:eastAsia="宋体"/>
          <w:sz w:val="28"/>
          <w:szCs w:val="28"/>
        </w:rPr>
        <w:t>（3）对坡度分级矢量数据、特定区域(饮用水水源一级保护区矢量边界)和第三次全国国土调查数据中的林地、草地和裸土地图斑矢量数据进行叠加分析。</w:t>
      </w:r>
    </w:p>
    <w:p w14:paraId="3D060F0E">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both"/>
        <w:textAlignment w:val="auto"/>
        <w:rPr>
          <w:rFonts w:ascii="Times New Roman" w:eastAsia="宋体"/>
          <w:sz w:val="28"/>
          <w:szCs w:val="52"/>
        </w:rPr>
      </w:pPr>
      <w:r>
        <w:rPr>
          <w:rFonts w:hint="eastAsia" w:ascii="Times New Roman" w:eastAsia="宋体"/>
          <w:sz w:val="28"/>
          <w:szCs w:val="28"/>
        </w:rPr>
        <w:t>（4）结合高分辨率遥感影像地物特征，统筹考虑自然生态整体性，结合山脉、河流、地貌单元、植被等自然边界，以及生态保护红线矢量边界，逐个图斑对禁止开垦陡坡地范围边界进行修正。抽取不低于3%的禁止开垦陡坡地范围图斑进行现场复核验证。</w:t>
      </w:r>
    </w:p>
    <w:p w14:paraId="71A2F52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0"/>
        <w:rPr>
          <w:rFonts w:hint="eastAsia" w:ascii="黑体" w:hAnsi="黑体" w:eastAsia="黑体" w:cs="黑体"/>
          <w:b w:val="0"/>
          <w:bCs/>
          <w:sz w:val="32"/>
          <w:szCs w:val="52"/>
        </w:rPr>
      </w:pPr>
      <w:r>
        <w:rPr>
          <w:rFonts w:hint="eastAsia" w:ascii="黑体" w:hAnsi="黑体" w:eastAsia="黑体" w:cs="黑体"/>
          <w:b w:val="0"/>
          <w:bCs/>
          <w:sz w:val="32"/>
          <w:szCs w:val="52"/>
        </w:rPr>
        <w:t>四、划定成果</w:t>
      </w:r>
    </w:p>
    <w:p w14:paraId="2EF675ED">
      <w:pPr>
        <w:keepNext w:val="0"/>
        <w:keepLines w:val="0"/>
        <w:pageBreakBefore w:val="0"/>
        <w:widowControl w:val="0"/>
        <w:kinsoku/>
        <w:wordWrap/>
        <w:overflowPunct/>
        <w:topLinePunct w:val="0"/>
        <w:autoSpaceDE/>
        <w:autoSpaceDN/>
        <w:bidi w:val="0"/>
        <w:adjustRightInd/>
        <w:snapToGrid/>
        <w:spacing w:line="600" w:lineRule="exact"/>
        <w:ind w:firstLine="602" w:firstLineChars="200"/>
        <w:jc w:val="both"/>
        <w:textAlignment w:val="auto"/>
        <w:outlineLvl w:val="1"/>
        <w:rPr>
          <w:rFonts w:ascii="Times New Roman" w:eastAsia="宋体"/>
          <w:b/>
          <w:sz w:val="30"/>
          <w:szCs w:val="52"/>
        </w:rPr>
      </w:pPr>
      <w:r>
        <w:rPr>
          <w:rFonts w:hint="eastAsia" w:ascii="Times New Roman" w:eastAsia="宋体"/>
          <w:b/>
          <w:sz w:val="30"/>
          <w:szCs w:val="52"/>
        </w:rPr>
        <w:t>1.复核调整</w:t>
      </w:r>
    </w:p>
    <w:p w14:paraId="303D5615">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both"/>
        <w:textAlignment w:val="auto"/>
        <w:rPr>
          <w:rFonts w:ascii="Times New Roman" w:eastAsia="宋体"/>
          <w:sz w:val="28"/>
          <w:szCs w:val="28"/>
        </w:rPr>
      </w:pPr>
      <w:r>
        <w:rPr>
          <w:rFonts w:hint="eastAsia" w:ascii="Times New Roman" w:eastAsia="宋体"/>
          <w:sz w:val="28"/>
          <w:szCs w:val="28"/>
        </w:rPr>
        <w:t>抽取不低于3%的禁止开垦陡坡地范围图斑进行现场复核验证，重点选取近山、村镇周边、道路两侧等人为活动集中区域以及集中连片面积在5hm²以上的图斑，根据现场复核验证结果对初步划定的禁止开垦陡坡地范围进行调整，将相邻图斑进行合并处理，剔除面积小于5hm²的图斑，形成最终禁止开垦陡坡地范围矢量数据。</w:t>
      </w:r>
    </w:p>
    <w:p w14:paraId="374224D2">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both"/>
        <w:textAlignment w:val="auto"/>
        <w:rPr>
          <w:rFonts w:ascii="Times New Roman" w:eastAsia="宋体"/>
          <w:sz w:val="28"/>
          <w:szCs w:val="28"/>
        </w:rPr>
      </w:pPr>
      <w:r>
        <w:rPr>
          <w:rFonts w:hint="eastAsia" w:ascii="Times New Roman" w:eastAsia="宋体"/>
          <w:sz w:val="28"/>
          <w:szCs w:val="28"/>
        </w:rPr>
        <w:t>本区域共复核6处图斑，复核方式为无人机航飞现状调查。经复核5处图斑符合地类图斑要求和坡度要求，1处不符合地类图斑要求和坡度要求。下图为其中两处复核图斑的遥感影像和无人机现场拍摄照片，其中上图为不符合要求的图斑影像和无人机照片。</w:t>
      </w:r>
    </w:p>
    <w:p w14:paraId="7C33F5AF">
      <w:pPr>
        <w:jc w:val="center"/>
        <w:rPr>
          <w:rFonts w:ascii="Times New Roman" w:eastAsia="宋体"/>
          <w:sz w:val="28"/>
          <w:szCs w:val="28"/>
        </w:rPr>
      </w:pPr>
      <w:r>
        <w:rPr>
          <w:rFonts w:hint="eastAsia" w:ascii="Times New Roman" w:eastAsia="宋体"/>
          <w:sz w:val="28"/>
          <w:szCs w:val="28"/>
        </w:rPr>
        <w:drawing>
          <wp:inline distT="0" distB="0" distL="114300" distR="114300">
            <wp:extent cx="2641600" cy="1609090"/>
            <wp:effectExtent l="0" t="0" r="10160" b="6350"/>
            <wp:docPr id="8" name="图片 8" descr="504439003f2869b752c2b267e6a029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504439003f2869b752c2b267e6a029e"/>
                    <pic:cNvPicPr>
                      <a:picLocks noChangeAspect="1"/>
                    </pic:cNvPicPr>
                  </pic:nvPicPr>
                  <pic:blipFill>
                    <a:blip r:embed="rId5"/>
                    <a:stretch>
                      <a:fillRect/>
                    </a:stretch>
                  </pic:blipFill>
                  <pic:spPr>
                    <a:xfrm>
                      <a:off x="0" y="0"/>
                      <a:ext cx="2641600" cy="1609090"/>
                    </a:xfrm>
                    <a:prstGeom prst="rect">
                      <a:avLst/>
                    </a:prstGeom>
                  </pic:spPr>
                </pic:pic>
              </a:graphicData>
            </a:graphic>
          </wp:inline>
        </w:drawing>
      </w:r>
      <w:r>
        <w:rPr>
          <w:rFonts w:hint="eastAsia" w:ascii="Times New Roman" w:eastAsia="宋体"/>
          <w:sz w:val="28"/>
          <w:szCs w:val="28"/>
        </w:rPr>
        <w:drawing>
          <wp:inline distT="0" distB="0" distL="114300" distR="114300">
            <wp:extent cx="2120900" cy="1589405"/>
            <wp:effectExtent l="0" t="0" r="12700" b="10795"/>
            <wp:docPr id="2" name="图片 2" descr="DJI_20250428154511_0015_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JI_20250428154511_0015_V"/>
                    <pic:cNvPicPr>
                      <a:picLocks noChangeAspect="1"/>
                    </pic:cNvPicPr>
                  </pic:nvPicPr>
                  <pic:blipFill>
                    <a:blip r:embed="rId6"/>
                    <a:stretch>
                      <a:fillRect/>
                    </a:stretch>
                  </pic:blipFill>
                  <pic:spPr>
                    <a:xfrm>
                      <a:off x="0" y="0"/>
                      <a:ext cx="2120900" cy="1589405"/>
                    </a:xfrm>
                    <a:prstGeom prst="rect">
                      <a:avLst/>
                    </a:prstGeom>
                  </pic:spPr>
                </pic:pic>
              </a:graphicData>
            </a:graphic>
          </wp:inline>
        </w:drawing>
      </w:r>
    </w:p>
    <w:p w14:paraId="4A6BE438">
      <w:pPr>
        <w:jc w:val="center"/>
        <w:rPr>
          <w:rFonts w:ascii="Times New Roman" w:eastAsia="宋体"/>
          <w:sz w:val="28"/>
          <w:szCs w:val="28"/>
        </w:rPr>
      </w:pPr>
      <w:r>
        <w:rPr>
          <w:rFonts w:hint="eastAsia" w:ascii="Times New Roman" w:eastAsia="宋体"/>
          <w:sz w:val="28"/>
          <w:szCs w:val="28"/>
        </w:rPr>
        <w:drawing>
          <wp:inline distT="0" distB="0" distL="114300" distR="114300">
            <wp:extent cx="2742565" cy="1641475"/>
            <wp:effectExtent l="0" t="0" r="635" b="15875"/>
            <wp:docPr id="9" name="图片 9" descr="54acec2bc5987524ba93dbc34e658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54acec2bc5987524ba93dbc34e658bf"/>
                    <pic:cNvPicPr>
                      <a:picLocks noChangeAspect="1"/>
                    </pic:cNvPicPr>
                  </pic:nvPicPr>
                  <pic:blipFill>
                    <a:blip r:embed="rId7"/>
                    <a:stretch>
                      <a:fillRect/>
                    </a:stretch>
                  </pic:blipFill>
                  <pic:spPr>
                    <a:xfrm>
                      <a:off x="0" y="0"/>
                      <a:ext cx="2742565" cy="1641475"/>
                    </a:xfrm>
                    <a:prstGeom prst="rect">
                      <a:avLst/>
                    </a:prstGeom>
                  </pic:spPr>
                </pic:pic>
              </a:graphicData>
            </a:graphic>
          </wp:inline>
        </w:drawing>
      </w:r>
      <w:r>
        <w:rPr>
          <w:rFonts w:hint="eastAsia" w:ascii="Times New Roman" w:eastAsia="宋体"/>
          <w:sz w:val="28"/>
          <w:szCs w:val="28"/>
        </w:rPr>
        <w:drawing>
          <wp:inline distT="0" distB="0" distL="114300" distR="114300">
            <wp:extent cx="2200910" cy="1649730"/>
            <wp:effectExtent l="0" t="0" r="8890" b="11430"/>
            <wp:docPr id="1" name="图片 1" descr="DJI_20250428134820_0068_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JI_20250428134820_0068_V"/>
                    <pic:cNvPicPr>
                      <a:picLocks noChangeAspect="1"/>
                    </pic:cNvPicPr>
                  </pic:nvPicPr>
                  <pic:blipFill>
                    <a:blip r:embed="rId8"/>
                    <a:stretch>
                      <a:fillRect/>
                    </a:stretch>
                  </pic:blipFill>
                  <pic:spPr>
                    <a:xfrm>
                      <a:off x="0" y="0"/>
                      <a:ext cx="2200910" cy="1649730"/>
                    </a:xfrm>
                    <a:prstGeom prst="rect">
                      <a:avLst/>
                    </a:prstGeom>
                  </pic:spPr>
                </pic:pic>
              </a:graphicData>
            </a:graphic>
          </wp:inline>
        </w:drawing>
      </w:r>
    </w:p>
    <w:p w14:paraId="6CC2B953">
      <w:pPr>
        <w:numPr>
          <w:ilvl w:val="0"/>
          <w:numId w:val="1"/>
        </w:numPr>
        <w:spacing w:before="156" w:beforeLines="50" w:line="360" w:lineRule="auto"/>
        <w:jc w:val="left"/>
        <w:outlineLvl w:val="1"/>
        <w:rPr>
          <w:rFonts w:ascii="Times New Roman" w:eastAsia="宋体"/>
          <w:b/>
          <w:sz w:val="30"/>
          <w:szCs w:val="52"/>
        </w:rPr>
      </w:pPr>
      <w:r>
        <w:rPr>
          <w:rFonts w:hint="eastAsia" w:ascii="Times New Roman" w:eastAsia="宋体"/>
          <w:b/>
          <w:sz w:val="30"/>
          <w:szCs w:val="52"/>
        </w:rPr>
        <w:t>初步划定成果</w:t>
      </w:r>
    </w:p>
    <w:p w14:paraId="35DCE119">
      <w:pPr>
        <w:spacing w:line="360" w:lineRule="auto"/>
        <w:ind w:firstLine="560" w:firstLineChars="200"/>
        <w:jc w:val="left"/>
        <w:rPr>
          <w:rFonts w:hint="eastAsia" w:ascii="Times New Roman" w:eastAsia="宋体"/>
          <w:sz w:val="28"/>
          <w:szCs w:val="52"/>
          <w:lang w:eastAsia="zh-CN"/>
        </w:rPr>
      </w:pPr>
      <w:r>
        <w:rPr>
          <w:rFonts w:hint="eastAsia" w:ascii="Times New Roman" w:eastAsia="宋体"/>
          <w:sz w:val="28"/>
          <w:szCs w:val="52"/>
        </w:rPr>
        <w:t>明山区禁止开垦陡坡地划定面积为3810.32公顷，禁止开垦陡坡地在生态保护红线面积2347.49公顷，占比61.6%</w:t>
      </w:r>
      <w:r>
        <w:rPr>
          <w:rFonts w:hint="eastAsia" w:ascii="Times New Roman" w:eastAsia="宋体"/>
          <w:sz w:val="28"/>
          <w:szCs w:val="52"/>
          <w:lang w:eastAsia="zh-CN"/>
        </w:rPr>
        <w:t>。</w:t>
      </w:r>
    </w:p>
    <w:p w14:paraId="4721C0BF">
      <w:pPr>
        <w:spacing w:line="360" w:lineRule="auto"/>
        <w:jc w:val="both"/>
        <w:rPr>
          <w:rFonts w:hint="eastAsia" w:ascii="Times New Roman" w:eastAsia="宋体"/>
          <w:sz w:val="28"/>
          <w:szCs w:val="21"/>
        </w:rPr>
      </w:pPr>
      <w:bookmarkStart w:id="0" w:name="_GoBack"/>
      <w:bookmarkEnd w:id="0"/>
    </w:p>
    <w:p w14:paraId="68AF2300">
      <w:pPr>
        <w:spacing w:line="360" w:lineRule="auto"/>
        <w:ind w:firstLine="560" w:firstLineChars="200"/>
        <w:jc w:val="center"/>
        <w:rPr>
          <w:rFonts w:ascii="Times New Roman" w:eastAsia="宋体"/>
          <w:sz w:val="28"/>
          <w:szCs w:val="21"/>
        </w:rPr>
      </w:pPr>
      <w:r>
        <w:rPr>
          <w:rFonts w:hint="eastAsia" w:ascii="Times New Roman" w:eastAsia="宋体"/>
          <w:sz w:val="28"/>
          <w:szCs w:val="21"/>
        </w:rPr>
        <w:t>陡坡地禁垦区域面积统计表</w:t>
      </w:r>
    </w:p>
    <w:tbl>
      <w:tblPr>
        <w:tblStyle w:val="6"/>
        <w:tblW w:w="4998" w:type="pct"/>
        <w:tblInd w:w="0" w:type="dxa"/>
        <w:tblLayout w:type="autofit"/>
        <w:tblCellMar>
          <w:top w:w="0" w:type="dxa"/>
          <w:left w:w="108" w:type="dxa"/>
          <w:bottom w:w="0" w:type="dxa"/>
          <w:right w:w="108" w:type="dxa"/>
        </w:tblCellMar>
      </w:tblPr>
      <w:tblGrid>
        <w:gridCol w:w="1861"/>
        <w:gridCol w:w="2695"/>
        <w:gridCol w:w="2171"/>
        <w:gridCol w:w="1792"/>
      </w:tblGrid>
      <w:tr w14:paraId="45D79338">
        <w:tblPrEx>
          <w:tblCellMar>
            <w:top w:w="0" w:type="dxa"/>
            <w:left w:w="108" w:type="dxa"/>
            <w:bottom w:w="0" w:type="dxa"/>
            <w:right w:w="108" w:type="dxa"/>
          </w:tblCellMar>
        </w:tblPrEx>
        <w:trPr>
          <w:trHeight w:val="303" w:hRule="atLeast"/>
        </w:trPr>
        <w:tc>
          <w:tcPr>
            <w:tcW w:w="109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4ED809A">
            <w:pPr>
              <w:widowControl/>
              <w:jc w:val="center"/>
              <w:textAlignment w:val="center"/>
              <w:rPr>
                <w:rFonts w:ascii="宋体" w:hAnsi="宋体" w:eastAsia="宋体" w:cs="宋体"/>
                <w:b/>
                <w:bCs/>
                <w:szCs w:val="21"/>
              </w:rPr>
            </w:pPr>
            <w:r>
              <w:rPr>
                <w:rFonts w:hint="eastAsia" w:ascii="宋体" w:hAnsi="宋体" w:eastAsia="宋体" w:cs="宋体"/>
                <w:b/>
                <w:bCs/>
                <w:kern w:val="0"/>
                <w:szCs w:val="21"/>
                <w:lang w:bidi="ar"/>
              </w:rPr>
              <w:t>乡镇名称</w:t>
            </w:r>
          </w:p>
        </w:tc>
        <w:tc>
          <w:tcPr>
            <w:tcW w:w="1581" w:type="pct"/>
            <w:tcBorders>
              <w:top w:val="single" w:color="000000" w:sz="8" w:space="0"/>
              <w:left w:val="nil"/>
              <w:bottom w:val="single" w:color="000000" w:sz="8" w:space="0"/>
              <w:right w:val="single" w:color="000000" w:sz="8" w:space="0"/>
            </w:tcBorders>
            <w:shd w:val="clear" w:color="auto" w:fill="auto"/>
            <w:vAlign w:val="center"/>
          </w:tcPr>
          <w:p w14:paraId="5F8B245F">
            <w:pPr>
              <w:widowControl/>
              <w:jc w:val="center"/>
              <w:textAlignment w:val="center"/>
              <w:rPr>
                <w:rFonts w:ascii="宋体" w:hAnsi="宋体" w:eastAsia="宋体" w:cs="宋体"/>
                <w:b/>
                <w:bCs/>
                <w:szCs w:val="21"/>
              </w:rPr>
            </w:pPr>
            <w:r>
              <w:rPr>
                <w:rFonts w:hint="eastAsia" w:ascii="宋体" w:hAnsi="宋体" w:eastAsia="宋体" w:cs="宋体"/>
                <w:b/>
                <w:bCs/>
                <w:kern w:val="0"/>
                <w:szCs w:val="21"/>
                <w:lang w:bidi="ar"/>
              </w:rPr>
              <w:t>禁止开垦陡坡地面积(hm²)</w:t>
            </w:r>
          </w:p>
        </w:tc>
        <w:tc>
          <w:tcPr>
            <w:tcW w:w="1274" w:type="pct"/>
            <w:tcBorders>
              <w:top w:val="single" w:color="000000" w:sz="8" w:space="0"/>
              <w:left w:val="nil"/>
              <w:bottom w:val="single" w:color="000000" w:sz="8" w:space="0"/>
              <w:right w:val="single" w:color="000000" w:sz="8" w:space="0"/>
            </w:tcBorders>
            <w:shd w:val="clear" w:color="auto" w:fill="auto"/>
            <w:vAlign w:val="center"/>
          </w:tcPr>
          <w:p w14:paraId="252BBDDB">
            <w:pPr>
              <w:widowControl/>
              <w:jc w:val="center"/>
              <w:textAlignment w:val="center"/>
              <w:rPr>
                <w:rFonts w:ascii="宋体" w:hAnsi="宋体" w:eastAsia="宋体" w:cs="宋体"/>
                <w:b/>
                <w:bCs/>
                <w:szCs w:val="21"/>
              </w:rPr>
            </w:pPr>
            <w:r>
              <w:rPr>
                <w:rFonts w:hint="eastAsia" w:ascii="宋体" w:hAnsi="宋体" w:eastAsia="宋体" w:cs="宋体"/>
                <w:b/>
                <w:bCs/>
                <w:kern w:val="0"/>
                <w:szCs w:val="21"/>
                <w:lang w:bidi="ar"/>
              </w:rPr>
              <w:t>国土面积(hm²)</w:t>
            </w:r>
          </w:p>
        </w:tc>
        <w:tc>
          <w:tcPr>
            <w:tcW w:w="1051" w:type="pct"/>
            <w:tcBorders>
              <w:top w:val="single" w:color="000000" w:sz="8" w:space="0"/>
              <w:left w:val="nil"/>
              <w:bottom w:val="single" w:color="000000" w:sz="8" w:space="0"/>
              <w:right w:val="single" w:color="000000" w:sz="8" w:space="0"/>
            </w:tcBorders>
            <w:shd w:val="clear" w:color="auto" w:fill="auto"/>
            <w:vAlign w:val="center"/>
          </w:tcPr>
          <w:p w14:paraId="45E719E3">
            <w:pPr>
              <w:widowControl/>
              <w:jc w:val="center"/>
              <w:textAlignment w:val="center"/>
              <w:rPr>
                <w:rFonts w:ascii="宋体" w:hAnsi="宋体" w:eastAsia="宋体" w:cs="宋体"/>
                <w:b/>
                <w:bCs/>
                <w:szCs w:val="21"/>
              </w:rPr>
            </w:pPr>
            <w:r>
              <w:rPr>
                <w:rFonts w:hint="eastAsia" w:ascii="宋体" w:hAnsi="宋体" w:eastAsia="宋体" w:cs="宋体"/>
                <w:b/>
                <w:bCs/>
                <w:kern w:val="0"/>
                <w:szCs w:val="21"/>
                <w:lang w:bidi="ar"/>
              </w:rPr>
              <w:t>面积占比(%)</w:t>
            </w:r>
          </w:p>
        </w:tc>
      </w:tr>
      <w:tr w14:paraId="4BDBC48C">
        <w:tblPrEx>
          <w:tblCellMar>
            <w:top w:w="0" w:type="dxa"/>
            <w:left w:w="108" w:type="dxa"/>
            <w:bottom w:w="0" w:type="dxa"/>
            <w:right w:w="108" w:type="dxa"/>
          </w:tblCellMar>
        </w:tblPrEx>
        <w:trPr>
          <w:trHeight w:val="303" w:hRule="atLeast"/>
        </w:trPr>
        <w:tc>
          <w:tcPr>
            <w:tcW w:w="1092" w:type="pct"/>
            <w:tcBorders>
              <w:top w:val="nil"/>
              <w:left w:val="single" w:color="000000" w:sz="8" w:space="0"/>
              <w:bottom w:val="single" w:color="000000" w:sz="8" w:space="0"/>
              <w:right w:val="single" w:color="000000" w:sz="8" w:space="0"/>
            </w:tcBorders>
            <w:shd w:val="clear" w:color="auto" w:fill="auto"/>
            <w:vAlign w:val="center"/>
          </w:tcPr>
          <w:p w14:paraId="057AE702">
            <w:pPr>
              <w:widowControl/>
              <w:jc w:val="center"/>
              <w:textAlignment w:val="center"/>
              <w:rPr>
                <w:rFonts w:ascii="宋体" w:hAnsi="宋体" w:eastAsia="宋体" w:cs="宋体"/>
                <w:szCs w:val="21"/>
              </w:rPr>
            </w:pPr>
            <w:r>
              <w:rPr>
                <w:rFonts w:hint="eastAsia" w:ascii="宋体" w:hAnsi="宋体" w:eastAsia="宋体" w:cs="宋体"/>
                <w:kern w:val="0"/>
                <w:szCs w:val="21"/>
                <w:lang w:bidi="ar"/>
              </w:rPr>
              <w:t>东兴街道办事处</w:t>
            </w:r>
          </w:p>
        </w:tc>
        <w:tc>
          <w:tcPr>
            <w:tcW w:w="1581" w:type="pct"/>
            <w:tcBorders>
              <w:top w:val="nil"/>
              <w:left w:val="nil"/>
              <w:bottom w:val="single" w:color="000000" w:sz="8" w:space="0"/>
              <w:right w:val="single" w:color="000000" w:sz="8" w:space="0"/>
            </w:tcBorders>
            <w:shd w:val="clear" w:color="auto" w:fill="auto"/>
            <w:vAlign w:val="center"/>
          </w:tcPr>
          <w:p w14:paraId="7F5C8D9F">
            <w:pPr>
              <w:widowControl/>
              <w:jc w:val="center"/>
              <w:textAlignment w:val="center"/>
              <w:rPr>
                <w:rFonts w:ascii="Arial" w:hAnsi="Arial" w:eastAsia="宋体" w:cs="Arial"/>
                <w:szCs w:val="21"/>
              </w:rPr>
            </w:pPr>
            <w:r>
              <w:rPr>
                <w:rFonts w:ascii="Arial" w:hAnsi="Arial" w:eastAsia="宋体" w:cs="Arial"/>
                <w:kern w:val="0"/>
                <w:szCs w:val="21"/>
                <w:lang w:bidi="ar"/>
              </w:rPr>
              <w:t>270.61</w:t>
            </w:r>
          </w:p>
        </w:tc>
        <w:tc>
          <w:tcPr>
            <w:tcW w:w="1274" w:type="pct"/>
            <w:tcBorders>
              <w:top w:val="nil"/>
              <w:left w:val="nil"/>
              <w:bottom w:val="single" w:color="000000" w:sz="8" w:space="0"/>
              <w:right w:val="single" w:color="000000" w:sz="8" w:space="0"/>
            </w:tcBorders>
            <w:shd w:val="clear" w:color="auto" w:fill="auto"/>
            <w:vAlign w:val="center"/>
          </w:tcPr>
          <w:p w14:paraId="77ADFBCD">
            <w:pPr>
              <w:widowControl/>
              <w:jc w:val="center"/>
              <w:textAlignment w:val="center"/>
              <w:rPr>
                <w:rFonts w:ascii="Arial" w:hAnsi="Arial" w:eastAsia="宋体" w:cs="Arial"/>
                <w:szCs w:val="21"/>
              </w:rPr>
            </w:pPr>
            <w:r>
              <w:rPr>
                <w:rFonts w:ascii="Arial" w:hAnsi="Arial" w:eastAsia="宋体" w:cs="Arial"/>
                <w:kern w:val="0"/>
                <w:szCs w:val="21"/>
                <w:lang w:bidi="ar"/>
              </w:rPr>
              <w:t>1675.74</w:t>
            </w:r>
          </w:p>
        </w:tc>
        <w:tc>
          <w:tcPr>
            <w:tcW w:w="1051" w:type="pct"/>
            <w:tcBorders>
              <w:top w:val="nil"/>
              <w:left w:val="nil"/>
              <w:bottom w:val="single" w:color="000000" w:sz="8" w:space="0"/>
              <w:right w:val="single" w:color="000000" w:sz="8" w:space="0"/>
            </w:tcBorders>
            <w:shd w:val="clear" w:color="auto" w:fill="auto"/>
            <w:vAlign w:val="center"/>
          </w:tcPr>
          <w:p w14:paraId="7D2BE6EE">
            <w:pPr>
              <w:widowControl/>
              <w:jc w:val="center"/>
              <w:textAlignment w:val="center"/>
              <w:rPr>
                <w:rFonts w:ascii="Arial" w:hAnsi="Arial" w:eastAsia="宋体" w:cs="Arial"/>
                <w:szCs w:val="21"/>
              </w:rPr>
            </w:pPr>
            <w:r>
              <w:rPr>
                <w:rFonts w:ascii="Arial" w:hAnsi="Arial" w:eastAsia="宋体" w:cs="Arial"/>
                <w:kern w:val="0"/>
                <w:szCs w:val="21"/>
                <w:lang w:bidi="ar"/>
              </w:rPr>
              <w:t>16.15</w:t>
            </w:r>
          </w:p>
        </w:tc>
      </w:tr>
      <w:tr w14:paraId="77A8E919">
        <w:tblPrEx>
          <w:tblCellMar>
            <w:top w:w="0" w:type="dxa"/>
            <w:left w:w="108" w:type="dxa"/>
            <w:bottom w:w="0" w:type="dxa"/>
            <w:right w:w="108" w:type="dxa"/>
          </w:tblCellMar>
        </w:tblPrEx>
        <w:trPr>
          <w:trHeight w:val="303" w:hRule="atLeast"/>
        </w:trPr>
        <w:tc>
          <w:tcPr>
            <w:tcW w:w="1092" w:type="pct"/>
            <w:tcBorders>
              <w:top w:val="nil"/>
              <w:left w:val="single" w:color="000000" w:sz="8" w:space="0"/>
              <w:bottom w:val="single" w:color="000000" w:sz="8" w:space="0"/>
              <w:right w:val="single" w:color="000000" w:sz="8" w:space="0"/>
            </w:tcBorders>
            <w:shd w:val="clear" w:color="auto" w:fill="auto"/>
            <w:vAlign w:val="center"/>
          </w:tcPr>
          <w:p w14:paraId="65A7CFAB">
            <w:pPr>
              <w:widowControl/>
              <w:jc w:val="center"/>
              <w:textAlignment w:val="center"/>
              <w:rPr>
                <w:rFonts w:ascii="宋体" w:hAnsi="宋体" w:eastAsia="宋体" w:cs="宋体"/>
                <w:szCs w:val="21"/>
              </w:rPr>
            </w:pPr>
            <w:r>
              <w:rPr>
                <w:rFonts w:hint="eastAsia" w:ascii="宋体" w:hAnsi="宋体" w:eastAsia="宋体" w:cs="宋体"/>
                <w:kern w:val="0"/>
                <w:szCs w:val="21"/>
                <w:lang w:bidi="ar"/>
              </w:rPr>
              <w:t>高台子镇</w:t>
            </w:r>
          </w:p>
        </w:tc>
        <w:tc>
          <w:tcPr>
            <w:tcW w:w="1581" w:type="pct"/>
            <w:tcBorders>
              <w:top w:val="nil"/>
              <w:left w:val="nil"/>
              <w:bottom w:val="single" w:color="000000" w:sz="8" w:space="0"/>
              <w:right w:val="single" w:color="000000" w:sz="8" w:space="0"/>
            </w:tcBorders>
            <w:shd w:val="clear" w:color="auto" w:fill="auto"/>
            <w:vAlign w:val="center"/>
          </w:tcPr>
          <w:p w14:paraId="31A8A11F">
            <w:pPr>
              <w:widowControl/>
              <w:jc w:val="center"/>
              <w:textAlignment w:val="center"/>
              <w:rPr>
                <w:rFonts w:ascii="Arial" w:hAnsi="Arial" w:eastAsia="宋体" w:cs="Arial"/>
                <w:szCs w:val="21"/>
              </w:rPr>
            </w:pPr>
            <w:r>
              <w:rPr>
                <w:rFonts w:ascii="Arial" w:hAnsi="Arial" w:eastAsia="宋体" w:cs="Arial"/>
                <w:kern w:val="0"/>
                <w:szCs w:val="21"/>
                <w:lang w:bidi="ar"/>
              </w:rPr>
              <w:t>579.79</w:t>
            </w:r>
          </w:p>
        </w:tc>
        <w:tc>
          <w:tcPr>
            <w:tcW w:w="1274" w:type="pct"/>
            <w:tcBorders>
              <w:top w:val="nil"/>
              <w:left w:val="nil"/>
              <w:bottom w:val="single" w:color="000000" w:sz="8" w:space="0"/>
              <w:right w:val="single" w:color="000000" w:sz="8" w:space="0"/>
            </w:tcBorders>
            <w:shd w:val="clear" w:color="auto" w:fill="auto"/>
            <w:vAlign w:val="center"/>
          </w:tcPr>
          <w:p w14:paraId="38783468">
            <w:pPr>
              <w:widowControl/>
              <w:jc w:val="center"/>
              <w:textAlignment w:val="center"/>
              <w:rPr>
                <w:rFonts w:ascii="Arial" w:hAnsi="Arial" w:eastAsia="宋体" w:cs="Arial"/>
                <w:szCs w:val="21"/>
              </w:rPr>
            </w:pPr>
            <w:r>
              <w:rPr>
                <w:rFonts w:ascii="Arial" w:hAnsi="Arial" w:eastAsia="宋体" w:cs="Arial"/>
                <w:kern w:val="0"/>
                <w:szCs w:val="21"/>
                <w:lang w:bidi="ar"/>
              </w:rPr>
              <w:t>14130.31</w:t>
            </w:r>
          </w:p>
        </w:tc>
        <w:tc>
          <w:tcPr>
            <w:tcW w:w="1051" w:type="pct"/>
            <w:tcBorders>
              <w:top w:val="nil"/>
              <w:left w:val="nil"/>
              <w:bottom w:val="single" w:color="000000" w:sz="8" w:space="0"/>
              <w:right w:val="single" w:color="000000" w:sz="8" w:space="0"/>
            </w:tcBorders>
            <w:shd w:val="clear" w:color="auto" w:fill="auto"/>
            <w:vAlign w:val="center"/>
          </w:tcPr>
          <w:p w14:paraId="0F4D68FC">
            <w:pPr>
              <w:widowControl/>
              <w:jc w:val="center"/>
              <w:textAlignment w:val="center"/>
              <w:rPr>
                <w:rFonts w:ascii="Arial" w:hAnsi="Arial" w:eastAsia="宋体" w:cs="Arial"/>
                <w:szCs w:val="21"/>
              </w:rPr>
            </w:pPr>
            <w:r>
              <w:rPr>
                <w:rFonts w:ascii="Arial" w:hAnsi="Arial" w:eastAsia="宋体" w:cs="Arial"/>
                <w:kern w:val="0"/>
                <w:szCs w:val="21"/>
                <w:lang w:bidi="ar"/>
              </w:rPr>
              <w:t>4.1</w:t>
            </w:r>
          </w:p>
        </w:tc>
      </w:tr>
      <w:tr w14:paraId="33B0E55D">
        <w:tblPrEx>
          <w:tblCellMar>
            <w:top w:w="0" w:type="dxa"/>
            <w:left w:w="108" w:type="dxa"/>
            <w:bottom w:w="0" w:type="dxa"/>
            <w:right w:w="108" w:type="dxa"/>
          </w:tblCellMar>
        </w:tblPrEx>
        <w:trPr>
          <w:trHeight w:val="303" w:hRule="atLeast"/>
        </w:trPr>
        <w:tc>
          <w:tcPr>
            <w:tcW w:w="1092" w:type="pct"/>
            <w:tcBorders>
              <w:top w:val="nil"/>
              <w:left w:val="single" w:color="000000" w:sz="8" w:space="0"/>
              <w:bottom w:val="single" w:color="000000" w:sz="8" w:space="0"/>
              <w:right w:val="single" w:color="000000" w:sz="8" w:space="0"/>
            </w:tcBorders>
            <w:shd w:val="clear" w:color="auto" w:fill="auto"/>
            <w:vAlign w:val="center"/>
          </w:tcPr>
          <w:p w14:paraId="7669A175">
            <w:pPr>
              <w:widowControl/>
              <w:jc w:val="center"/>
              <w:textAlignment w:val="center"/>
              <w:rPr>
                <w:rFonts w:ascii="宋体" w:hAnsi="宋体" w:eastAsia="宋体" w:cs="宋体"/>
                <w:szCs w:val="21"/>
              </w:rPr>
            </w:pPr>
            <w:r>
              <w:rPr>
                <w:rFonts w:hint="eastAsia" w:ascii="宋体" w:hAnsi="宋体" w:eastAsia="宋体" w:cs="宋体"/>
                <w:kern w:val="0"/>
                <w:szCs w:val="21"/>
                <w:lang w:bidi="ar"/>
              </w:rPr>
              <w:t>牛心台街道</w:t>
            </w:r>
          </w:p>
        </w:tc>
        <w:tc>
          <w:tcPr>
            <w:tcW w:w="1581" w:type="pct"/>
            <w:tcBorders>
              <w:top w:val="nil"/>
              <w:left w:val="nil"/>
              <w:bottom w:val="single" w:color="000000" w:sz="8" w:space="0"/>
              <w:right w:val="single" w:color="000000" w:sz="8" w:space="0"/>
            </w:tcBorders>
            <w:shd w:val="clear" w:color="auto" w:fill="auto"/>
            <w:vAlign w:val="center"/>
          </w:tcPr>
          <w:p w14:paraId="6FDDD4B8">
            <w:pPr>
              <w:widowControl/>
              <w:jc w:val="center"/>
              <w:textAlignment w:val="center"/>
              <w:rPr>
                <w:rFonts w:ascii="Arial" w:hAnsi="Arial" w:eastAsia="宋体" w:cs="Arial"/>
                <w:szCs w:val="21"/>
              </w:rPr>
            </w:pPr>
            <w:r>
              <w:rPr>
                <w:rFonts w:ascii="Arial" w:hAnsi="Arial" w:eastAsia="宋体" w:cs="Arial"/>
                <w:kern w:val="0"/>
                <w:szCs w:val="21"/>
                <w:lang w:bidi="ar"/>
              </w:rPr>
              <w:t>332.11</w:t>
            </w:r>
          </w:p>
        </w:tc>
        <w:tc>
          <w:tcPr>
            <w:tcW w:w="1274" w:type="pct"/>
            <w:tcBorders>
              <w:top w:val="nil"/>
              <w:left w:val="nil"/>
              <w:bottom w:val="single" w:color="000000" w:sz="8" w:space="0"/>
              <w:right w:val="single" w:color="000000" w:sz="8" w:space="0"/>
            </w:tcBorders>
            <w:shd w:val="clear" w:color="auto" w:fill="auto"/>
            <w:vAlign w:val="center"/>
          </w:tcPr>
          <w:p w14:paraId="2F354CC1">
            <w:pPr>
              <w:widowControl/>
              <w:jc w:val="center"/>
              <w:textAlignment w:val="center"/>
              <w:rPr>
                <w:rFonts w:ascii="Arial" w:hAnsi="Arial" w:eastAsia="宋体" w:cs="Arial"/>
                <w:szCs w:val="21"/>
              </w:rPr>
            </w:pPr>
            <w:r>
              <w:rPr>
                <w:rFonts w:ascii="Arial" w:hAnsi="Arial" w:eastAsia="宋体" w:cs="Arial"/>
                <w:kern w:val="0"/>
                <w:szCs w:val="21"/>
                <w:lang w:bidi="ar"/>
              </w:rPr>
              <w:t>5447.35</w:t>
            </w:r>
          </w:p>
        </w:tc>
        <w:tc>
          <w:tcPr>
            <w:tcW w:w="1051" w:type="pct"/>
            <w:tcBorders>
              <w:top w:val="nil"/>
              <w:left w:val="nil"/>
              <w:bottom w:val="single" w:color="000000" w:sz="8" w:space="0"/>
              <w:right w:val="single" w:color="000000" w:sz="8" w:space="0"/>
            </w:tcBorders>
            <w:shd w:val="clear" w:color="auto" w:fill="auto"/>
            <w:vAlign w:val="center"/>
          </w:tcPr>
          <w:p w14:paraId="0DA27493">
            <w:pPr>
              <w:widowControl/>
              <w:jc w:val="center"/>
              <w:textAlignment w:val="center"/>
              <w:rPr>
                <w:rFonts w:ascii="Arial" w:hAnsi="Arial" w:eastAsia="宋体" w:cs="Arial"/>
                <w:szCs w:val="21"/>
              </w:rPr>
            </w:pPr>
            <w:r>
              <w:rPr>
                <w:rFonts w:ascii="Arial" w:hAnsi="Arial" w:eastAsia="宋体" w:cs="Arial"/>
                <w:kern w:val="0"/>
                <w:szCs w:val="21"/>
                <w:lang w:bidi="ar"/>
              </w:rPr>
              <w:t>6.1</w:t>
            </w:r>
          </w:p>
        </w:tc>
      </w:tr>
      <w:tr w14:paraId="57B9326A">
        <w:tblPrEx>
          <w:tblCellMar>
            <w:top w:w="0" w:type="dxa"/>
            <w:left w:w="108" w:type="dxa"/>
            <w:bottom w:w="0" w:type="dxa"/>
            <w:right w:w="108" w:type="dxa"/>
          </w:tblCellMar>
        </w:tblPrEx>
        <w:trPr>
          <w:trHeight w:val="303" w:hRule="atLeast"/>
        </w:trPr>
        <w:tc>
          <w:tcPr>
            <w:tcW w:w="1092" w:type="pct"/>
            <w:tcBorders>
              <w:top w:val="nil"/>
              <w:left w:val="single" w:color="000000" w:sz="8" w:space="0"/>
              <w:bottom w:val="single" w:color="000000" w:sz="8" w:space="0"/>
              <w:right w:val="single" w:color="000000" w:sz="8" w:space="0"/>
            </w:tcBorders>
            <w:shd w:val="clear" w:color="auto" w:fill="auto"/>
            <w:vAlign w:val="center"/>
          </w:tcPr>
          <w:p w14:paraId="4B739737">
            <w:pPr>
              <w:widowControl/>
              <w:jc w:val="center"/>
              <w:textAlignment w:val="center"/>
              <w:rPr>
                <w:rFonts w:ascii="宋体" w:hAnsi="宋体" w:eastAsia="宋体" w:cs="宋体"/>
                <w:szCs w:val="21"/>
              </w:rPr>
            </w:pPr>
            <w:r>
              <w:rPr>
                <w:rFonts w:hint="eastAsia" w:ascii="宋体" w:hAnsi="宋体" w:eastAsia="宋体" w:cs="宋体"/>
                <w:kern w:val="0"/>
                <w:szCs w:val="21"/>
                <w:lang w:bidi="ar"/>
              </w:rPr>
              <w:t>卧龙街道</w:t>
            </w:r>
          </w:p>
        </w:tc>
        <w:tc>
          <w:tcPr>
            <w:tcW w:w="1581" w:type="pct"/>
            <w:tcBorders>
              <w:top w:val="nil"/>
              <w:left w:val="nil"/>
              <w:bottom w:val="single" w:color="000000" w:sz="8" w:space="0"/>
              <w:right w:val="single" w:color="000000" w:sz="8" w:space="0"/>
            </w:tcBorders>
            <w:shd w:val="clear" w:color="auto" w:fill="auto"/>
            <w:vAlign w:val="center"/>
          </w:tcPr>
          <w:p w14:paraId="126F3C77">
            <w:pPr>
              <w:widowControl/>
              <w:jc w:val="center"/>
              <w:textAlignment w:val="center"/>
              <w:rPr>
                <w:rFonts w:ascii="Arial" w:hAnsi="Arial" w:eastAsia="宋体" w:cs="Arial"/>
                <w:szCs w:val="21"/>
              </w:rPr>
            </w:pPr>
            <w:r>
              <w:rPr>
                <w:rFonts w:ascii="Arial" w:hAnsi="Arial" w:eastAsia="宋体" w:cs="Arial"/>
                <w:kern w:val="0"/>
                <w:szCs w:val="21"/>
                <w:lang w:bidi="ar"/>
              </w:rPr>
              <w:t>2255.</w:t>
            </w:r>
            <w:r>
              <w:rPr>
                <w:rFonts w:hint="eastAsia" w:ascii="Arial" w:hAnsi="Arial" w:eastAsia="宋体" w:cs="Arial"/>
                <w:kern w:val="0"/>
                <w:szCs w:val="21"/>
                <w:lang w:bidi="ar"/>
              </w:rPr>
              <w:t>29</w:t>
            </w:r>
          </w:p>
        </w:tc>
        <w:tc>
          <w:tcPr>
            <w:tcW w:w="1274" w:type="pct"/>
            <w:tcBorders>
              <w:top w:val="nil"/>
              <w:left w:val="nil"/>
              <w:bottom w:val="single" w:color="000000" w:sz="8" w:space="0"/>
              <w:right w:val="single" w:color="000000" w:sz="8" w:space="0"/>
            </w:tcBorders>
            <w:shd w:val="clear" w:color="auto" w:fill="auto"/>
            <w:vAlign w:val="center"/>
          </w:tcPr>
          <w:p w14:paraId="62B8E10A">
            <w:pPr>
              <w:widowControl/>
              <w:jc w:val="center"/>
              <w:textAlignment w:val="center"/>
              <w:rPr>
                <w:rFonts w:ascii="Arial" w:hAnsi="Arial" w:eastAsia="宋体" w:cs="Arial"/>
                <w:szCs w:val="21"/>
              </w:rPr>
            </w:pPr>
            <w:r>
              <w:rPr>
                <w:rFonts w:ascii="Arial" w:hAnsi="Arial" w:eastAsia="宋体" w:cs="Arial"/>
                <w:kern w:val="0"/>
                <w:szCs w:val="21"/>
                <w:lang w:bidi="ar"/>
              </w:rPr>
              <w:t>15988.93</w:t>
            </w:r>
          </w:p>
        </w:tc>
        <w:tc>
          <w:tcPr>
            <w:tcW w:w="1051" w:type="pct"/>
            <w:tcBorders>
              <w:top w:val="nil"/>
              <w:left w:val="nil"/>
              <w:bottom w:val="single" w:color="000000" w:sz="8" w:space="0"/>
              <w:right w:val="single" w:color="000000" w:sz="8" w:space="0"/>
            </w:tcBorders>
            <w:shd w:val="clear" w:color="auto" w:fill="auto"/>
            <w:vAlign w:val="center"/>
          </w:tcPr>
          <w:p w14:paraId="52FA7B3A">
            <w:pPr>
              <w:widowControl/>
              <w:jc w:val="center"/>
              <w:textAlignment w:val="center"/>
              <w:rPr>
                <w:rFonts w:ascii="Arial" w:hAnsi="Arial" w:eastAsia="宋体" w:cs="Arial"/>
                <w:szCs w:val="21"/>
              </w:rPr>
            </w:pPr>
            <w:r>
              <w:rPr>
                <w:rFonts w:ascii="Arial" w:hAnsi="Arial" w:eastAsia="宋体" w:cs="Arial"/>
                <w:kern w:val="0"/>
                <w:szCs w:val="21"/>
                <w:lang w:bidi="ar"/>
              </w:rPr>
              <w:t>14.11</w:t>
            </w:r>
          </w:p>
        </w:tc>
      </w:tr>
      <w:tr w14:paraId="55134BD2">
        <w:tblPrEx>
          <w:tblCellMar>
            <w:top w:w="0" w:type="dxa"/>
            <w:left w:w="108" w:type="dxa"/>
            <w:bottom w:w="0" w:type="dxa"/>
            <w:right w:w="108" w:type="dxa"/>
          </w:tblCellMar>
        </w:tblPrEx>
        <w:trPr>
          <w:trHeight w:val="303" w:hRule="atLeast"/>
        </w:trPr>
        <w:tc>
          <w:tcPr>
            <w:tcW w:w="1092" w:type="pct"/>
            <w:tcBorders>
              <w:top w:val="nil"/>
              <w:left w:val="single" w:color="000000" w:sz="8" w:space="0"/>
              <w:bottom w:val="single" w:color="000000" w:sz="8" w:space="0"/>
              <w:right w:val="single" w:color="000000" w:sz="8" w:space="0"/>
            </w:tcBorders>
            <w:shd w:val="clear" w:color="auto" w:fill="auto"/>
            <w:vAlign w:val="center"/>
          </w:tcPr>
          <w:p w14:paraId="3DD83ECE">
            <w:pPr>
              <w:widowControl/>
              <w:jc w:val="center"/>
              <w:textAlignment w:val="center"/>
              <w:rPr>
                <w:rFonts w:ascii="宋体" w:hAnsi="宋体" w:eastAsia="宋体" w:cs="宋体"/>
                <w:szCs w:val="21"/>
              </w:rPr>
            </w:pPr>
            <w:r>
              <w:rPr>
                <w:rFonts w:hint="eastAsia" w:ascii="宋体" w:hAnsi="宋体" w:eastAsia="宋体" w:cs="宋体"/>
                <w:kern w:val="0"/>
                <w:szCs w:val="21"/>
                <w:lang w:bidi="ar"/>
              </w:rPr>
              <w:t>新明街道办事处</w:t>
            </w:r>
          </w:p>
        </w:tc>
        <w:tc>
          <w:tcPr>
            <w:tcW w:w="1581" w:type="pct"/>
            <w:tcBorders>
              <w:top w:val="nil"/>
              <w:left w:val="nil"/>
              <w:bottom w:val="single" w:color="000000" w:sz="8" w:space="0"/>
              <w:right w:val="single" w:color="000000" w:sz="8" w:space="0"/>
            </w:tcBorders>
            <w:shd w:val="clear" w:color="auto" w:fill="auto"/>
            <w:vAlign w:val="center"/>
          </w:tcPr>
          <w:p w14:paraId="2F9A536D">
            <w:pPr>
              <w:widowControl/>
              <w:jc w:val="center"/>
              <w:textAlignment w:val="center"/>
              <w:rPr>
                <w:rFonts w:ascii="Arial" w:hAnsi="Arial" w:eastAsia="宋体" w:cs="Arial"/>
                <w:szCs w:val="21"/>
              </w:rPr>
            </w:pPr>
            <w:r>
              <w:rPr>
                <w:rFonts w:ascii="Arial" w:hAnsi="Arial" w:eastAsia="宋体" w:cs="Arial"/>
                <w:kern w:val="0"/>
                <w:szCs w:val="21"/>
                <w:lang w:bidi="ar"/>
              </w:rPr>
              <w:t>372.52</w:t>
            </w:r>
          </w:p>
        </w:tc>
        <w:tc>
          <w:tcPr>
            <w:tcW w:w="1274" w:type="pct"/>
            <w:tcBorders>
              <w:top w:val="nil"/>
              <w:left w:val="nil"/>
              <w:bottom w:val="single" w:color="000000" w:sz="8" w:space="0"/>
              <w:right w:val="single" w:color="000000" w:sz="8" w:space="0"/>
            </w:tcBorders>
            <w:shd w:val="clear" w:color="auto" w:fill="auto"/>
            <w:vAlign w:val="center"/>
          </w:tcPr>
          <w:p w14:paraId="1C278366">
            <w:pPr>
              <w:widowControl/>
              <w:jc w:val="center"/>
              <w:textAlignment w:val="center"/>
              <w:rPr>
                <w:rFonts w:ascii="Arial" w:hAnsi="Arial" w:eastAsia="宋体" w:cs="Arial"/>
                <w:szCs w:val="21"/>
              </w:rPr>
            </w:pPr>
            <w:r>
              <w:rPr>
                <w:rFonts w:ascii="Arial" w:hAnsi="Arial" w:eastAsia="宋体" w:cs="Arial"/>
                <w:kern w:val="0"/>
                <w:szCs w:val="21"/>
                <w:lang w:bidi="ar"/>
              </w:rPr>
              <w:t>2286.95</w:t>
            </w:r>
          </w:p>
        </w:tc>
        <w:tc>
          <w:tcPr>
            <w:tcW w:w="1051" w:type="pct"/>
            <w:tcBorders>
              <w:top w:val="nil"/>
              <w:left w:val="nil"/>
              <w:bottom w:val="single" w:color="000000" w:sz="8" w:space="0"/>
              <w:right w:val="single" w:color="000000" w:sz="8" w:space="0"/>
            </w:tcBorders>
            <w:shd w:val="clear" w:color="auto" w:fill="auto"/>
            <w:vAlign w:val="center"/>
          </w:tcPr>
          <w:p w14:paraId="31B8BBA2">
            <w:pPr>
              <w:widowControl/>
              <w:jc w:val="center"/>
              <w:textAlignment w:val="center"/>
              <w:rPr>
                <w:rFonts w:ascii="Arial" w:hAnsi="Arial" w:eastAsia="宋体" w:cs="Arial"/>
                <w:szCs w:val="21"/>
              </w:rPr>
            </w:pPr>
            <w:r>
              <w:rPr>
                <w:rFonts w:ascii="Arial" w:hAnsi="Arial" w:eastAsia="宋体" w:cs="Arial"/>
                <w:kern w:val="0"/>
                <w:szCs w:val="21"/>
                <w:lang w:bidi="ar"/>
              </w:rPr>
              <w:t>16.29</w:t>
            </w:r>
          </w:p>
        </w:tc>
      </w:tr>
      <w:tr w14:paraId="02772FBA">
        <w:tblPrEx>
          <w:tblCellMar>
            <w:top w:w="0" w:type="dxa"/>
            <w:left w:w="108" w:type="dxa"/>
            <w:bottom w:w="0" w:type="dxa"/>
            <w:right w:w="108" w:type="dxa"/>
          </w:tblCellMar>
        </w:tblPrEx>
        <w:trPr>
          <w:trHeight w:val="303" w:hRule="atLeast"/>
        </w:trPr>
        <w:tc>
          <w:tcPr>
            <w:tcW w:w="1092" w:type="pct"/>
            <w:tcBorders>
              <w:top w:val="nil"/>
              <w:left w:val="single" w:color="000000" w:sz="8" w:space="0"/>
              <w:bottom w:val="single" w:color="000000" w:sz="8" w:space="0"/>
              <w:right w:val="single" w:color="000000" w:sz="8" w:space="0"/>
            </w:tcBorders>
            <w:shd w:val="clear" w:color="auto" w:fill="auto"/>
            <w:vAlign w:val="center"/>
          </w:tcPr>
          <w:p w14:paraId="315893B4">
            <w:pPr>
              <w:widowControl/>
              <w:jc w:val="center"/>
              <w:textAlignment w:val="center"/>
              <w:rPr>
                <w:rFonts w:ascii="宋体" w:hAnsi="宋体" w:eastAsia="宋体" w:cs="宋体"/>
                <w:szCs w:val="21"/>
              </w:rPr>
            </w:pPr>
            <w:r>
              <w:rPr>
                <w:rFonts w:hint="eastAsia" w:ascii="宋体" w:hAnsi="宋体" w:eastAsia="宋体" w:cs="宋体"/>
                <w:kern w:val="0"/>
                <w:szCs w:val="21"/>
                <w:lang w:bidi="ar"/>
              </w:rPr>
              <w:t>合计</w:t>
            </w:r>
          </w:p>
        </w:tc>
        <w:tc>
          <w:tcPr>
            <w:tcW w:w="1581" w:type="pct"/>
            <w:tcBorders>
              <w:top w:val="nil"/>
              <w:left w:val="nil"/>
              <w:bottom w:val="single" w:color="000000" w:sz="8" w:space="0"/>
              <w:right w:val="single" w:color="000000" w:sz="8" w:space="0"/>
            </w:tcBorders>
            <w:shd w:val="clear" w:color="auto" w:fill="auto"/>
            <w:vAlign w:val="center"/>
          </w:tcPr>
          <w:p w14:paraId="66BF2AE4">
            <w:pPr>
              <w:widowControl/>
              <w:jc w:val="center"/>
              <w:textAlignment w:val="center"/>
              <w:rPr>
                <w:rFonts w:ascii="Arial" w:hAnsi="Arial" w:eastAsia="宋体" w:cs="Arial"/>
                <w:szCs w:val="21"/>
              </w:rPr>
            </w:pPr>
            <w:r>
              <w:rPr>
                <w:rFonts w:ascii="Arial" w:hAnsi="Arial" w:eastAsia="宋体" w:cs="Arial"/>
                <w:kern w:val="0"/>
                <w:szCs w:val="21"/>
                <w:lang w:bidi="ar"/>
              </w:rPr>
              <w:t>3810.</w:t>
            </w:r>
            <w:r>
              <w:rPr>
                <w:rFonts w:hint="eastAsia" w:ascii="Arial" w:hAnsi="Arial" w:eastAsia="宋体" w:cs="Arial"/>
                <w:kern w:val="0"/>
                <w:szCs w:val="21"/>
                <w:lang w:bidi="ar"/>
              </w:rPr>
              <w:t>32</w:t>
            </w:r>
          </w:p>
        </w:tc>
        <w:tc>
          <w:tcPr>
            <w:tcW w:w="1274" w:type="pct"/>
            <w:tcBorders>
              <w:top w:val="nil"/>
              <w:left w:val="nil"/>
              <w:bottom w:val="single" w:color="000000" w:sz="8" w:space="0"/>
              <w:right w:val="single" w:color="000000" w:sz="8" w:space="0"/>
            </w:tcBorders>
            <w:shd w:val="clear" w:color="auto" w:fill="auto"/>
            <w:vAlign w:val="center"/>
          </w:tcPr>
          <w:p w14:paraId="02348AE2">
            <w:pPr>
              <w:widowControl/>
              <w:jc w:val="center"/>
              <w:textAlignment w:val="center"/>
              <w:rPr>
                <w:rFonts w:ascii="Arial" w:hAnsi="Arial" w:eastAsia="宋体" w:cs="Arial"/>
                <w:szCs w:val="21"/>
              </w:rPr>
            </w:pPr>
            <w:r>
              <w:rPr>
                <w:rFonts w:ascii="Arial" w:hAnsi="Arial" w:eastAsia="宋体" w:cs="Arial"/>
                <w:kern w:val="0"/>
                <w:szCs w:val="21"/>
                <w:lang w:bidi="ar"/>
              </w:rPr>
              <w:t>39529.28</w:t>
            </w:r>
          </w:p>
        </w:tc>
        <w:tc>
          <w:tcPr>
            <w:tcW w:w="1051" w:type="pct"/>
            <w:tcBorders>
              <w:top w:val="nil"/>
              <w:left w:val="nil"/>
              <w:bottom w:val="single" w:color="000000" w:sz="8" w:space="0"/>
              <w:right w:val="single" w:color="000000" w:sz="8" w:space="0"/>
            </w:tcBorders>
            <w:shd w:val="clear" w:color="auto" w:fill="auto"/>
            <w:vAlign w:val="center"/>
          </w:tcPr>
          <w:p w14:paraId="6A1AD9E3">
            <w:pPr>
              <w:widowControl/>
              <w:jc w:val="center"/>
              <w:textAlignment w:val="center"/>
              <w:rPr>
                <w:rFonts w:ascii="Arial" w:hAnsi="Arial" w:eastAsia="宋体" w:cs="Arial"/>
                <w:szCs w:val="21"/>
              </w:rPr>
            </w:pPr>
            <w:r>
              <w:rPr>
                <w:rFonts w:ascii="Arial" w:hAnsi="Arial" w:eastAsia="宋体" w:cs="Arial"/>
                <w:kern w:val="0"/>
                <w:szCs w:val="21"/>
                <w:lang w:bidi="ar"/>
              </w:rPr>
              <w:t>9.64</w:t>
            </w:r>
          </w:p>
        </w:tc>
      </w:tr>
    </w:tbl>
    <w:p w14:paraId="4C07858A">
      <w:pPr>
        <w:spacing w:line="360" w:lineRule="auto"/>
        <w:ind w:firstLine="560" w:firstLineChars="200"/>
        <w:jc w:val="left"/>
        <w:rPr>
          <w:rFonts w:ascii="Times New Roman" w:eastAsia="宋体"/>
          <w:sz w:val="28"/>
          <w:szCs w:val="52"/>
        </w:rPr>
      </w:pPr>
    </w:p>
    <w:p w14:paraId="31BBC25B">
      <w:pPr>
        <w:jc w:val="center"/>
        <w:rPr>
          <w:rFonts w:ascii="Times New Roman" w:eastAsia="宋体"/>
          <w:sz w:val="28"/>
          <w:szCs w:val="52"/>
        </w:rPr>
      </w:pPr>
      <w:r>
        <w:rPr>
          <w:rFonts w:hint="eastAsia" w:ascii="Times New Roman" w:eastAsia="宋体"/>
          <w:sz w:val="28"/>
          <w:szCs w:val="52"/>
        </w:rPr>
        <w:drawing>
          <wp:inline distT="0" distB="0" distL="114300" distR="114300">
            <wp:extent cx="5271135" cy="3726815"/>
            <wp:effectExtent l="0" t="0" r="1905" b="6985"/>
            <wp:docPr id="10" name="图片 10" descr="新明街道办事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新明街道办事处"/>
                    <pic:cNvPicPr>
                      <a:picLocks noChangeAspect="1"/>
                    </pic:cNvPicPr>
                  </pic:nvPicPr>
                  <pic:blipFill>
                    <a:blip r:embed="rId9"/>
                    <a:stretch>
                      <a:fillRect/>
                    </a:stretch>
                  </pic:blipFill>
                  <pic:spPr>
                    <a:xfrm>
                      <a:off x="0" y="0"/>
                      <a:ext cx="5271135" cy="3726815"/>
                    </a:xfrm>
                    <a:prstGeom prst="rect">
                      <a:avLst/>
                    </a:prstGeom>
                  </pic:spPr>
                </pic:pic>
              </a:graphicData>
            </a:graphic>
          </wp:inline>
        </w:drawing>
      </w:r>
      <w:r>
        <w:rPr>
          <w:rFonts w:hint="eastAsia" w:ascii="Times New Roman" w:eastAsia="宋体"/>
          <w:sz w:val="28"/>
          <w:szCs w:val="52"/>
        </w:rPr>
        <w:drawing>
          <wp:inline distT="0" distB="0" distL="114300" distR="114300">
            <wp:extent cx="5271135" cy="3726815"/>
            <wp:effectExtent l="0" t="0" r="1905" b="6985"/>
            <wp:docPr id="11" name="图片 11" descr="卧龙街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卧龙街道"/>
                    <pic:cNvPicPr>
                      <a:picLocks noChangeAspect="1"/>
                    </pic:cNvPicPr>
                  </pic:nvPicPr>
                  <pic:blipFill>
                    <a:blip r:embed="rId10"/>
                    <a:stretch>
                      <a:fillRect/>
                    </a:stretch>
                  </pic:blipFill>
                  <pic:spPr>
                    <a:xfrm>
                      <a:off x="0" y="0"/>
                      <a:ext cx="5271135" cy="3726815"/>
                    </a:xfrm>
                    <a:prstGeom prst="rect">
                      <a:avLst/>
                    </a:prstGeom>
                  </pic:spPr>
                </pic:pic>
              </a:graphicData>
            </a:graphic>
          </wp:inline>
        </w:drawing>
      </w:r>
      <w:r>
        <w:rPr>
          <w:rFonts w:hint="eastAsia" w:ascii="Times New Roman" w:eastAsia="宋体"/>
          <w:sz w:val="28"/>
          <w:szCs w:val="52"/>
        </w:rPr>
        <w:drawing>
          <wp:inline distT="0" distB="0" distL="114300" distR="114300">
            <wp:extent cx="5271135" cy="3726815"/>
            <wp:effectExtent l="0" t="0" r="1905" b="6985"/>
            <wp:docPr id="12" name="图片 12" descr="牛心台街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牛心台街道"/>
                    <pic:cNvPicPr>
                      <a:picLocks noChangeAspect="1"/>
                    </pic:cNvPicPr>
                  </pic:nvPicPr>
                  <pic:blipFill>
                    <a:blip r:embed="rId11"/>
                    <a:stretch>
                      <a:fillRect/>
                    </a:stretch>
                  </pic:blipFill>
                  <pic:spPr>
                    <a:xfrm>
                      <a:off x="0" y="0"/>
                      <a:ext cx="5271135" cy="3726815"/>
                    </a:xfrm>
                    <a:prstGeom prst="rect">
                      <a:avLst/>
                    </a:prstGeom>
                  </pic:spPr>
                </pic:pic>
              </a:graphicData>
            </a:graphic>
          </wp:inline>
        </w:drawing>
      </w:r>
      <w:r>
        <w:rPr>
          <w:rFonts w:hint="eastAsia" w:ascii="Times New Roman" w:eastAsia="宋体"/>
          <w:sz w:val="28"/>
          <w:szCs w:val="52"/>
        </w:rPr>
        <w:drawing>
          <wp:inline distT="0" distB="0" distL="114300" distR="114300">
            <wp:extent cx="5271135" cy="3726815"/>
            <wp:effectExtent l="0" t="0" r="1905" b="6985"/>
            <wp:docPr id="13" name="图片 13" descr="高台子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高台子镇"/>
                    <pic:cNvPicPr>
                      <a:picLocks noChangeAspect="1"/>
                    </pic:cNvPicPr>
                  </pic:nvPicPr>
                  <pic:blipFill>
                    <a:blip r:embed="rId12"/>
                    <a:stretch>
                      <a:fillRect/>
                    </a:stretch>
                  </pic:blipFill>
                  <pic:spPr>
                    <a:xfrm>
                      <a:off x="0" y="0"/>
                      <a:ext cx="5271135" cy="3726815"/>
                    </a:xfrm>
                    <a:prstGeom prst="rect">
                      <a:avLst/>
                    </a:prstGeom>
                  </pic:spPr>
                </pic:pic>
              </a:graphicData>
            </a:graphic>
          </wp:inline>
        </w:drawing>
      </w:r>
    </w:p>
    <w:p w14:paraId="2EE47922">
      <w:pPr>
        <w:spacing w:line="360" w:lineRule="auto"/>
        <w:ind w:firstLine="420" w:firstLineChars="200"/>
        <w:jc w:val="center"/>
        <w:rPr>
          <w:rFonts w:ascii="Times New Roman" w:eastAsia="宋体"/>
          <w:szCs w:val="21"/>
        </w:rPr>
      </w:pPr>
      <w:r>
        <w:rPr>
          <w:rFonts w:ascii="Times New Roman" w:eastAsia="宋体"/>
          <w:szCs w:val="21"/>
        </w:rPr>
        <w:t>禁止开垦陡坡地范围图和分布示意图</w:t>
      </w:r>
    </w:p>
    <w:p w14:paraId="32D5D17F">
      <w:pPr>
        <w:spacing w:line="360" w:lineRule="auto"/>
        <w:ind w:firstLine="420" w:firstLineChars="200"/>
        <w:jc w:val="center"/>
        <w:rPr>
          <w:rFonts w:ascii="Times New Roman" w:eastAsia="宋体"/>
          <w:szCs w:val="21"/>
        </w:rPr>
      </w:pPr>
    </w:p>
    <w:p w14:paraId="4276FE0B">
      <w:pPr>
        <w:spacing w:line="360" w:lineRule="auto"/>
        <w:ind w:firstLine="420" w:firstLineChars="200"/>
        <w:jc w:val="center"/>
        <w:rPr>
          <w:rFonts w:ascii="Times New Roman" w:eastAsia="宋体"/>
          <w:szCs w:val="21"/>
        </w:rPr>
      </w:pPr>
    </w:p>
    <w:p w14:paraId="7EB5D988">
      <w:pPr>
        <w:spacing w:line="360" w:lineRule="auto"/>
        <w:ind w:firstLine="560" w:firstLineChars="200"/>
        <w:jc w:val="left"/>
        <w:rPr>
          <w:rFonts w:ascii="Times New Roman" w:eastAsia="宋体"/>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微软雅黑">
    <w:altName w:val="黑体"/>
    <w:panose1 w:val="020B0503020204020204"/>
    <w:charset w:val="86"/>
    <w:family w:val="auto"/>
    <w:pitch w:val="default"/>
    <w:sig w:usb0="00000000" w:usb1="00000000" w:usb2="00000016" w:usb3="00000000" w:csb0="0004001F" w:csb1="00000000"/>
  </w:font>
  <w:font w:name="Arial">
    <w:altName w:val="Times New Roman"/>
    <w:panose1 w:val="020B0604020202020204"/>
    <w:charset w:val="00"/>
    <w:family w:val="swiss"/>
    <w:pitch w:val="default"/>
    <w:sig w:usb0="00000000" w:usb1="00000000" w:usb2="00000009" w:usb3="00000000" w:csb0="000001FF" w:csb1="00000000"/>
  </w:font>
  <w:font w:name="DejaVu Sans">
    <w:panose1 w:val="020B0603030804020204"/>
    <w:charset w:val="00"/>
    <w:family w:val="auto"/>
    <w:pitch w:val="default"/>
    <w:sig w:usb0="E7006EFF" w:usb1="D200FDFF" w:usb2="0A246029" w:usb3="0400200C" w:csb0="600001FF" w:csb1="DFFF0000"/>
  </w:font>
  <w:font w:name="仿宋">
    <w:panose1 w:val="02010609060101010101"/>
    <w:charset w:val="86"/>
    <w:family w:val="auto"/>
    <w:pitch w:val="default"/>
    <w:sig w:usb0="800002BF" w:usb1="38CF7CFA"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3A8E52B"/>
    <w:multiLevelType w:val="singleLevel"/>
    <w:tmpl w:val="73A8E52B"/>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c1MTMzZjNmZWNlNjNmYzM3ZjQxNjQ1YjNmMGMwMmUifQ=="/>
  </w:docVars>
  <w:rsids>
    <w:rsidRoot w:val="00172A27"/>
    <w:rsid w:val="00172A27"/>
    <w:rsid w:val="00460220"/>
    <w:rsid w:val="009C7FE6"/>
    <w:rsid w:val="00BB60D1"/>
    <w:rsid w:val="00DF414B"/>
    <w:rsid w:val="00FF1C5F"/>
    <w:rsid w:val="01181DD9"/>
    <w:rsid w:val="054E1C36"/>
    <w:rsid w:val="09462A60"/>
    <w:rsid w:val="16044CC0"/>
    <w:rsid w:val="1F827709"/>
    <w:rsid w:val="2A35562F"/>
    <w:rsid w:val="2B9051A4"/>
    <w:rsid w:val="3A316F77"/>
    <w:rsid w:val="42C700D1"/>
    <w:rsid w:val="47ED5D74"/>
    <w:rsid w:val="49E6444A"/>
    <w:rsid w:val="67F35C18"/>
    <w:rsid w:val="703323A9"/>
    <w:rsid w:val="71A85172"/>
    <w:rsid w:val="781E34C5"/>
    <w:rsid w:val="E3BF95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qFormat/>
    <w:uiPriority w:val="0"/>
    <w:rPr>
      <w:sz w:val="18"/>
      <w:szCs w:val="18"/>
    </w:rPr>
  </w:style>
  <w:style w:type="paragraph" w:styleId="3">
    <w:name w:val="footer"/>
    <w:basedOn w:val="1"/>
    <w:link w:val="12"/>
    <w:qFormat/>
    <w:uiPriority w:val="0"/>
    <w:pPr>
      <w:tabs>
        <w:tab w:val="center" w:pos="4153"/>
        <w:tab w:val="right" w:pos="8306"/>
      </w:tabs>
      <w:snapToGrid w:val="0"/>
      <w:jc w:val="left"/>
    </w:pPr>
    <w:rPr>
      <w:sz w:val="18"/>
      <w:szCs w:val="18"/>
    </w:rPr>
  </w:style>
  <w:style w:type="paragraph" w:styleId="4">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customStyle="1" w:styleId="8">
    <w:name w:val="font41"/>
    <w:basedOn w:val="7"/>
    <w:qFormat/>
    <w:uiPriority w:val="0"/>
    <w:rPr>
      <w:rFonts w:ascii="宋体" w:hAnsi="宋体" w:eastAsia="宋体" w:cs="宋体"/>
      <w:b/>
      <w:bCs/>
      <w:color w:val="000000"/>
      <w:sz w:val="14"/>
      <w:szCs w:val="14"/>
      <w:u w:val="none"/>
    </w:rPr>
  </w:style>
  <w:style w:type="character" w:customStyle="1" w:styleId="9">
    <w:name w:val="font51"/>
    <w:basedOn w:val="7"/>
    <w:qFormat/>
    <w:uiPriority w:val="0"/>
    <w:rPr>
      <w:rFonts w:ascii="宋体" w:hAnsi="宋体" w:eastAsia="宋体" w:cs="宋体"/>
      <w:color w:val="000000"/>
      <w:sz w:val="14"/>
      <w:szCs w:val="14"/>
      <w:u w:val="none"/>
    </w:rPr>
  </w:style>
  <w:style w:type="character" w:customStyle="1" w:styleId="10">
    <w:name w:val="批注框文本 Char"/>
    <w:basedOn w:val="7"/>
    <w:link w:val="2"/>
    <w:qFormat/>
    <w:uiPriority w:val="0"/>
    <w:rPr>
      <w:rFonts w:asciiTheme="minorHAnsi" w:hAnsiTheme="minorHAnsi" w:eastAsiaTheme="minorEastAsia" w:cstheme="minorBidi"/>
      <w:kern w:val="2"/>
      <w:sz w:val="18"/>
      <w:szCs w:val="18"/>
    </w:rPr>
  </w:style>
  <w:style w:type="character" w:customStyle="1" w:styleId="11">
    <w:name w:val="页眉 Char"/>
    <w:basedOn w:val="7"/>
    <w:link w:val="4"/>
    <w:qFormat/>
    <w:uiPriority w:val="0"/>
    <w:rPr>
      <w:rFonts w:asciiTheme="minorHAnsi" w:hAnsiTheme="minorHAnsi" w:eastAsiaTheme="minorEastAsia" w:cstheme="minorBidi"/>
      <w:kern w:val="2"/>
      <w:sz w:val="18"/>
      <w:szCs w:val="18"/>
    </w:rPr>
  </w:style>
  <w:style w:type="character" w:customStyle="1" w:styleId="12">
    <w:name w:val="页脚 Char"/>
    <w:basedOn w:val="7"/>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pn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414</Words>
  <Characters>2364</Characters>
  <Lines>19</Lines>
  <Paragraphs>5</Paragraphs>
  <TotalTime>31</TotalTime>
  <ScaleCrop>false</ScaleCrop>
  <LinksUpToDate>false</LinksUpToDate>
  <CharactersWithSpaces>2773</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2025-03-21T15:21:00Z</dcterms:created>
  <dc:creator>孙佳庚</dc:creator>
  <cp:lastModifiedBy>user</cp:lastModifiedBy>
  <dcterms:modified xsi:type="dcterms:W3CDTF">2025-12-09T09:33:41Z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98D8E8435F204EB0BF4EF9F7788C5C77_11</vt:lpwstr>
  </property>
  <property fmtid="{D5CDD505-2E9C-101B-9397-08002B2CF9AE}" pid="4" name="KSOTemplateDocerSaveRecord">
    <vt:lpwstr>eyJoZGlkIjoiZTFmZDE1MWE1NDI3ZGI3MzBmOGM2MGJhY2MzYzhkNTciLCJ1c2VySWQiOiIxNDkzODE5MjQ5In0=</vt:lpwstr>
  </property>
</Properties>
</file>